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E9A" w:rsidRDefault="003918C3" w:rsidP="00077D65">
      <w:pPr>
        <w:jc w:val="cente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i1025" type="#_x0000_t75" alt="logo" style="width:450pt;height:95.25pt;visibility:visible">
            <v:imagedata r:id="rId7" o:title=""/>
          </v:shape>
        </w:pict>
      </w:r>
    </w:p>
    <w:p w:rsidR="00815E9A" w:rsidRDefault="00815E9A" w:rsidP="00077D65">
      <w:pPr>
        <w:jc w:val="center"/>
      </w:pPr>
    </w:p>
    <w:p w:rsidR="00815E9A" w:rsidRDefault="00815E9A" w:rsidP="00077D65">
      <w:pPr>
        <w:jc w:val="center"/>
      </w:pPr>
    </w:p>
    <w:p w:rsidR="00815E9A" w:rsidRDefault="00815E9A" w:rsidP="00077D65">
      <w:pPr>
        <w:jc w:val="center"/>
      </w:pPr>
    </w:p>
    <w:p w:rsidR="00815E9A" w:rsidRDefault="00815E9A" w:rsidP="00077D65">
      <w:pPr>
        <w:jc w:val="center"/>
      </w:pPr>
    </w:p>
    <w:p w:rsidR="00815E9A" w:rsidRDefault="00815E9A" w:rsidP="00077D65">
      <w:pPr>
        <w:jc w:val="center"/>
      </w:pPr>
    </w:p>
    <w:p w:rsidR="00815E9A" w:rsidRDefault="00815E9A" w:rsidP="00077D65">
      <w:pPr>
        <w:jc w:val="center"/>
      </w:pPr>
    </w:p>
    <w:p w:rsidR="00815E9A" w:rsidRDefault="00815E9A" w:rsidP="00077D65">
      <w:pPr>
        <w:jc w:val="center"/>
      </w:pPr>
    </w:p>
    <w:p w:rsidR="00815E9A" w:rsidRDefault="00815E9A" w:rsidP="00077D65">
      <w:pPr>
        <w:jc w:val="center"/>
      </w:pPr>
    </w:p>
    <w:p w:rsidR="00815E9A" w:rsidRPr="0038745D" w:rsidRDefault="00815E9A" w:rsidP="00077D65">
      <w:pPr>
        <w:jc w:val="center"/>
        <w:rPr>
          <w:rFonts w:ascii="Times New Roman" w:hAnsi="Times New Roman" w:cs="Times New Roman"/>
          <w:b/>
          <w:bCs/>
          <w:color w:val="C0504D"/>
          <w:sz w:val="64"/>
          <w:szCs w:val="64"/>
        </w:rPr>
      </w:pPr>
      <w:r w:rsidRPr="0038745D">
        <w:rPr>
          <w:rFonts w:ascii="Times New Roman" w:hAnsi="Times New Roman" w:cs="Times New Roman"/>
          <w:b/>
          <w:bCs/>
          <w:color w:val="C0504D"/>
          <w:sz w:val="64"/>
          <w:szCs w:val="64"/>
        </w:rPr>
        <w:t>ΑΠΟΛΟΓΙΣΜΟΣ 2013 – 2015</w:t>
      </w:r>
    </w:p>
    <w:p w:rsidR="00815E9A" w:rsidRDefault="00815E9A" w:rsidP="00077D65">
      <w:pPr>
        <w:jc w:val="center"/>
        <w:rPr>
          <w:rFonts w:ascii="Times New Roman" w:hAnsi="Times New Roman" w:cs="Times New Roman"/>
          <w:color w:val="C0504D"/>
          <w:sz w:val="56"/>
          <w:szCs w:val="56"/>
        </w:rPr>
      </w:pPr>
    </w:p>
    <w:p w:rsidR="00815E9A" w:rsidRPr="0080596C" w:rsidRDefault="00815E9A" w:rsidP="0038745D">
      <w:pPr>
        <w:rPr>
          <w:rFonts w:ascii="Times New Roman" w:hAnsi="Times New Roman" w:cs="Times New Roman"/>
          <w:color w:val="C0504D"/>
          <w:sz w:val="56"/>
          <w:szCs w:val="56"/>
        </w:rPr>
      </w:pPr>
    </w:p>
    <w:p w:rsidR="00815E9A" w:rsidRDefault="00815E9A" w:rsidP="00077D65">
      <w:pPr>
        <w:jc w:val="center"/>
        <w:rPr>
          <w:rFonts w:ascii="Times New Roman" w:hAnsi="Times New Roman" w:cs="Times New Roman"/>
          <w:color w:val="C0504D"/>
          <w:sz w:val="56"/>
          <w:szCs w:val="56"/>
        </w:rPr>
      </w:pPr>
    </w:p>
    <w:p w:rsidR="00815E9A" w:rsidRDefault="00815E9A" w:rsidP="00077D65">
      <w:pPr>
        <w:jc w:val="center"/>
        <w:rPr>
          <w:rFonts w:ascii="Times New Roman" w:hAnsi="Times New Roman" w:cs="Times New Roman"/>
          <w:color w:val="C0504D"/>
          <w:sz w:val="56"/>
          <w:szCs w:val="56"/>
        </w:rPr>
      </w:pPr>
    </w:p>
    <w:p w:rsidR="00815E9A" w:rsidRPr="0080596C" w:rsidRDefault="00815E9A" w:rsidP="00077D65">
      <w:pPr>
        <w:jc w:val="center"/>
        <w:rPr>
          <w:rFonts w:ascii="Times New Roman" w:hAnsi="Times New Roman" w:cs="Times New Roman"/>
          <w:color w:val="C0504D"/>
          <w:sz w:val="56"/>
          <w:szCs w:val="56"/>
        </w:rPr>
      </w:pPr>
    </w:p>
    <w:p w:rsidR="00815E9A" w:rsidRPr="0080596C" w:rsidRDefault="00815E9A" w:rsidP="00077D65">
      <w:pPr>
        <w:jc w:val="center"/>
        <w:rPr>
          <w:rFonts w:ascii="Times New Roman" w:hAnsi="Times New Roman" w:cs="Times New Roman"/>
          <w:b/>
          <w:bCs/>
          <w:color w:val="C0504D"/>
          <w:sz w:val="32"/>
          <w:szCs w:val="32"/>
        </w:rPr>
      </w:pPr>
      <w:r w:rsidRPr="0080596C">
        <w:rPr>
          <w:rFonts w:ascii="Times New Roman" w:hAnsi="Times New Roman" w:cs="Times New Roman"/>
          <w:b/>
          <w:bCs/>
          <w:color w:val="C0504D"/>
          <w:sz w:val="32"/>
          <w:szCs w:val="32"/>
        </w:rPr>
        <w:t xml:space="preserve">ΜΥΤΙΛΗΝΗ </w:t>
      </w:r>
    </w:p>
    <w:p w:rsidR="00815E9A" w:rsidRDefault="00815E9A" w:rsidP="00077D65">
      <w:pPr>
        <w:jc w:val="center"/>
        <w:rPr>
          <w:rFonts w:ascii="Times New Roman" w:hAnsi="Times New Roman" w:cs="Times New Roman"/>
          <w:b/>
          <w:bCs/>
          <w:color w:val="C0504D"/>
          <w:sz w:val="32"/>
          <w:szCs w:val="32"/>
        </w:rPr>
      </w:pPr>
      <w:r>
        <w:rPr>
          <w:rFonts w:ascii="Times New Roman" w:hAnsi="Times New Roman" w:cs="Times New Roman"/>
          <w:b/>
          <w:bCs/>
          <w:color w:val="C0504D"/>
          <w:sz w:val="32"/>
          <w:szCs w:val="32"/>
        </w:rPr>
        <w:t>ΑΠΡΙΛΙΟΣ</w:t>
      </w:r>
      <w:r w:rsidRPr="0080596C">
        <w:rPr>
          <w:rFonts w:ascii="Times New Roman" w:hAnsi="Times New Roman" w:cs="Times New Roman"/>
          <w:b/>
          <w:bCs/>
          <w:color w:val="C0504D"/>
          <w:sz w:val="32"/>
          <w:szCs w:val="32"/>
        </w:rPr>
        <w:t xml:space="preserve"> 2015</w:t>
      </w:r>
    </w:p>
    <w:p w:rsidR="00815E9A" w:rsidRDefault="00815E9A" w:rsidP="00077D65">
      <w:pPr>
        <w:jc w:val="center"/>
        <w:rPr>
          <w:rFonts w:ascii="Times New Roman" w:hAnsi="Times New Roman" w:cs="Times New Roman"/>
          <w:b/>
          <w:bCs/>
          <w:color w:val="C0504D"/>
          <w:sz w:val="32"/>
          <w:szCs w:val="32"/>
          <w:lang w:val="en-US"/>
        </w:rPr>
      </w:pPr>
    </w:p>
    <w:p w:rsidR="00815E9A" w:rsidRPr="00582F21" w:rsidRDefault="00815E9A" w:rsidP="00077D65">
      <w:pPr>
        <w:jc w:val="center"/>
        <w:rPr>
          <w:rFonts w:ascii="Times New Roman" w:hAnsi="Times New Roman" w:cs="Times New Roman"/>
          <w:b/>
          <w:bCs/>
          <w:color w:val="C0504D"/>
          <w:sz w:val="32"/>
          <w:szCs w:val="32"/>
          <w:lang w:val="en-US"/>
        </w:rPr>
      </w:pPr>
      <w:bookmarkStart w:id="0" w:name="_GoBack"/>
      <w:bookmarkEnd w:id="0"/>
    </w:p>
    <w:p w:rsidR="00815E9A" w:rsidRDefault="00815E9A" w:rsidP="00F210D1">
      <w:pPr>
        <w:jc w:val="both"/>
        <w:rPr>
          <w:rFonts w:ascii="Times New Roman" w:hAnsi="Times New Roman" w:cs="Times New Roman"/>
          <w:b/>
          <w:bCs/>
          <w:color w:val="C0504D"/>
          <w:sz w:val="32"/>
          <w:szCs w:val="32"/>
        </w:rPr>
      </w:pPr>
      <w:r>
        <w:rPr>
          <w:rFonts w:ascii="Times New Roman" w:hAnsi="Times New Roman" w:cs="Times New Roman"/>
          <w:b/>
          <w:bCs/>
          <w:color w:val="C0504D"/>
          <w:sz w:val="32"/>
          <w:szCs w:val="32"/>
        </w:rPr>
        <w:t>Περιεχόμενα</w:t>
      </w:r>
    </w:p>
    <w:p w:rsidR="00815E9A" w:rsidRDefault="00815E9A" w:rsidP="00F210D1">
      <w:pPr>
        <w:pStyle w:val="a5"/>
        <w:numPr>
          <w:ilvl w:val="0"/>
          <w:numId w:val="1"/>
        </w:numPr>
        <w:jc w:val="both"/>
        <w:rPr>
          <w:rFonts w:ascii="Times New Roman" w:hAnsi="Times New Roman" w:cs="Times New Roman"/>
          <w:b/>
          <w:bCs/>
          <w:color w:val="C0504D"/>
          <w:sz w:val="32"/>
          <w:szCs w:val="32"/>
        </w:rPr>
      </w:pPr>
      <w:r>
        <w:rPr>
          <w:rFonts w:ascii="Times New Roman" w:hAnsi="Times New Roman" w:cs="Times New Roman"/>
          <w:b/>
          <w:bCs/>
          <w:color w:val="C0504D"/>
          <w:sz w:val="32"/>
          <w:szCs w:val="32"/>
        </w:rPr>
        <w:t>Εισαγωγικά στοιχεία.</w:t>
      </w:r>
    </w:p>
    <w:p w:rsidR="00815E9A" w:rsidRPr="00E278AA" w:rsidRDefault="00815E9A" w:rsidP="00E278AA">
      <w:pPr>
        <w:pStyle w:val="a5"/>
        <w:numPr>
          <w:ilvl w:val="0"/>
          <w:numId w:val="1"/>
        </w:numPr>
        <w:rPr>
          <w:rFonts w:ascii="Times New Roman" w:hAnsi="Times New Roman" w:cs="Times New Roman"/>
          <w:b/>
          <w:bCs/>
          <w:color w:val="C0504D"/>
          <w:sz w:val="32"/>
          <w:szCs w:val="32"/>
        </w:rPr>
      </w:pPr>
      <w:r w:rsidRPr="00E278AA">
        <w:rPr>
          <w:rFonts w:ascii="Times New Roman" w:hAnsi="Times New Roman" w:cs="Times New Roman"/>
          <w:b/>
          <w:bCs/>
          <w:color w:val="C0504D"/>
          <w:sz w:val="32"/>
          <w:szCs w:val="32"/>
        </w:rPr>
        <w:t>Γενικό περίγραμμα των δράσεων της Περιφερειακής Διεύθυνσης Εκπαίδευσης.</w:t>
      </w:r>
    </w:p>
    <w:p w:rsidR="00815E9A" w:rsidRPr="00B96292" w:rsidRDefault="00815E9A" w:rsidP="00B96292">
      <w:pPr>
        <w:pStyle w:val="a5"/>
        <w:numPr>
          <w:ilvl w:val="0"/>
          <w:numId w:val="1"/>
        </w:numPr>
        <w:rPr>
          <w:rFonts w:ascii="Times New Roman" w:hAnsi="Times New Roman" w:cs="Times New Roman"/>
          <w:b/>
          <w:bCs/>
          <w:color w:val="C0504D"/>
          <w:sz w:val="32"/>
          <w:szCs w:val="32"/>
        </w:rPr>
      </w:pPr>
      <w:r w:rsidRPr="00B96292">
        <w:rPr>
          <w:rFonts w:ascii="Times New Roman" w:hAnsi="Times New Roman" w:cs="Times New Roman"/>
          <w:b/>
          <w:bCs/>
          <w:color w:val="C0504D"/>
          <w:sz w:val="32"/>
          <w:szCs w:val="32"/>
        </w:rPr>
        <w:t>Σύνδεση με τους άξονες του Στρατηγικού Προγραμματισμού 2014-18.</w:t>
      </w:r>
    </w:p>
    <w:p w:rsidR="00815E9A" w:rsidRPr="005F6D60" w:rsidRDefault="00815E9A" w:rsidP="005F6D60">
      <w:pPr>
        <w:pStyle w:val="a5"/>
        <w:numPr>
          <w:ilvl w:val="0"/>
          <w:numId w:val="1"/>
        </w:numPr>
        <w:rPr>
          <w:rFonts w:ascii="Times New Roman" w:hAnsi="Times New Roman" w:cs="Times New Roman"/>
          <w:b/>
          <w:bCs/>
          <w:color w:val="C0504D"/>
          <w:sz w:val="32"/>
          <w:szCs w:val="32"/>
        </w:rPr>
      </w:pPr>
      <w:r w:rsidRPr="005F6D60">
        <w:rPr>
          <w:rFonts w:ascii="Times New Roman" w:hAnsi="Times New Roman" w:cs="Times New Roman"/>
          <w:b/>
          <w:bCs/>
          <w:color w:val="C0504D"/>
          <w:sz w:val="32"/>
          <w:szCs w:val="32"/>
        </w:rPr>
        <w:t>Αναλυτικός απολογισμός κατά άξονα προγραμματισμού.</w:t>
      </w:r>
    </w:p>
    <w:p w:rsidR="00815E9A" w:rsidRPr="00F210D1" w:rsidRDefault="00815E9A" w:rsidP="0033326F">
      <w:pPr>
        <w:pStyle w:val="a5"/>
        <w:ind w:left="360"/>
        <w:jc w:val="both"/>
        <w:rPr>
          <w:rFonts w:ascii="Times New Roman" w:hAnsi="Times New Roman" w:cs="Times New Roman"/>
          <w:b/>
          <w:bCs/>
          <w:color w:val="C0504D"/>
          <w:sz w:val="32"/>
          <w:szCs w:val="32"/>
        </w:rPr>
      </w:pPr>
    </w:p>
    <w:p w:rsidR="00815E9A" w:rsidRDefault="00815E9A" w:rsidP="00077D65">
      <w:pPr>
        <w:jc w:val="center"/>
        <w:rPr>
          <w:rFonts w:ascii="Times New Roman" w:hAnsi="Times New Roman" w:cs="Times New Roman"/>
          <w:b/>
          <w:bCs/>
          <w:color w:val="C0504D"/>
          <w:sz w:val="32"/>
          <w:szCs w:val="32"/>
        </w:rPr>
      </w:pPr>
    </w:p>
    <w:p w:rsidR="00815E9A" w:rsidRDefault="00815E9A" w:rsidP="00077D65">
      <w:pPr>
        <w:jc w:val="center"/>
        <w:rPr>
          <w:rFonts w:ascii="Times New Roman" w:hAnsi="Times New Roman" w:cs="Times New Roman"/>
          <w:b/>
          <w:bCs/>
          <w:color w:val="C0504D"/>
          <w:sz w:val="32"/>
          <w:szCs w:val="32"/>
        </w:rPr>
      </w:pPr>
    </w:p>
    <w:p w:rsidR="00815E9A" w:rsidRDefault="00815E9A" w:rsidP="00077D65">
      <w:pPr>
        <w:jc w:val="center"/>
        <w:rPr>
          <w:rFonts w:ascii="Times New Roman" w:hAnsi="Times New Roman" w:cs="Times New Roman"/>
          <w:b/>
          <w:bCs/>
          <w:color w:val="C0504D"/>
          <w:sz w:val="32"/>
          <w:szCs w:val="32"/>
        </w:rPr>
      </w:pPr>
    </w:p>
    <w:p w:rsidR="00815E9A" w:rsidRDefault="00815E9A" w:rsidP="00077D65">
      <w:pPr>
        <w:jc w:val="center"/>
        <w:rPr>
          <w:rFonts w:ascii="Times New Roman" w:hAnsi="Times New Roman" w:cs="Times New Roman"/>
          <w:b/>
          <w:bCs/>
          <w:color w:val="C0504D"/>
          <w:sz w:val="32"/>
          <w:szCs w:val="32"/>
        </w:rPr>
      </w:pPr>
    </w:p>
    <w:p w:rsidR="00815E9A" w:rsidRDefault="00815E9A" w:rsidP="00077D65">
      <w:pPr>
        <w:jc w:val="center"/>
        <w:rPr>
          <w:rFonts w:ascii="Times New Roman" w:hAnsi="Times New Roman" w:cs="Times New Roman"/>
          <w:b/>
          <w:bCs/>
          <w:color w:val="C0504D"/>
          <w:sz w:val="32"/>
          <w:szCs w:val="32"/>
        </w:rPr>
      </w:pPr>
    </w:p>
    <w:p w:rsidR="00815E9A" w:rsidRDefault="00815E9A" w:rsidP="00077D65">
      <w:pPr>
        <w:jc w:val="center"/>
        <w:rPr>
          <w:rFonts w:ascii="Times New Roman" w:hAnsi="Times New Roman" w:cs="Times New Roman"/>
          <w:b/>
          <w:bCs/>
          <w:color w:val="C0504D"/>
          <w:sz w:val="32"/>
          <w:szCs w:val="32"/>
        </w:rPr>
      </w:pPr>
    </w:p>
    <w:p w:rsidR="00815E9A" w:rsidRDefault="00815E9A" w:rsidP="00077D65">
      <w:pPr>
        <w:jc w:val="center"/>
        <w:rPr>
          <w:rFonts w:ascii="Times New Roman" w:hAnsi="Times New Roman" w:cs="Times New Roman"/>
          <w:b/>
          <w:bCs/>
          <w:color w:val="C0504D"/>
          <w:sz w:val="32"/>
          <w:szCs w:val="32"/>
        </w:rPr>
      </w:pPr>
    </w:p>
    <w:p w:rsidR="00815E9A" w:rsidRDefault="00815E9A" w:rsidP="00077D65">
      <w:pPr>
        <w:jc w:val="center"/>
        <w:rPr>
          <w:rFonts w:ascii="Times New Roman" w:hAnsi="Times New Roman" w:cs="Times New Roman"/>
          <w:b/>
          <w:bCs/>
          <w:color w:val="C0504D"/>
          <w:sz w:val="32"/>
          <w:szCs w:val="32"/>
        </w:rPr>
      </w:pPr>
    </w:p>
    <w:p w:rsidR="00815E9A" w:rsidRDefault="00815E9A" w:rsidP="00077D65">
      <w:pPr>
        <w:jc w:val="center"/>
        <w:rPr>
          <w:rFonts w:ascii="Times New Roman" w:hAnsi="Times New Roman" w:cs="Times New Roman"/>
          <w:b/>
          <w:bCs/>
          <w:color w:val="C0504D"/>
          <w:sz w:val="32"/>
          <w:szCs w:val="32"/>
        </w:rPr>
      </w:pPr>
    </w:p>
    <w:p w:rsidR="00815E9A" w:rsidRDefault="00815E9A" w:rsidP="00077D65">
      <w:pPr>
        <w:jc w:val="center"/>
        <w:rPr>
          <w:rFonts w:ascii="Times New Roman" w:hAnsi="Times New Roman" w:cs="Times New Roman"/>
          <w:b/>
          <w:bCs/>
          <w:color w:val="C0504D"/>
          <w:sz w:val="32"/>
          <w:szCs w:val="32"/>
        </w:rPr>
      </w:pPr>
    </w:p>
    <w:p w:rsidR="00815E9A" w:rsidRDefault="00815E9A" w:rsidP="00360E28">
      <w:pPr>
        <w:jc w:val="both"/>
        <w:rPr>
          <w:rFonts w:ascii="Times New Roman" w:hAnsi="Times New Roman" w:cs="Times New Roman"/>
          <w:b/>
          <w:bCs/>
          <w:color w:val="C0504D"/>
          <w:sz w:val="32"/>
          <w:szCs w:val="32"/>
        </w:rPr>
      </w:pPr>
    </w:p>
    <w:p w:rsidR="00815E9A" w:rsidRDefault="00815E9A" w:rsidP="00360E28">
      <w:pPr>
        <w:jc w:val="both"/>
        <w:rPr>
          <w:rFonts w:ascii="Times New Roman" w:hAnsi="Times New Roman" w:cs="Times New Roman"/>
          <w:b/>
          <w:bCs/>
          <w:color w:val="C0504D"/>
          <w:sz w:val="32"/>
          <w:szCs w:val="32"/>
        </w:rPr>
      </w:pPr>
    </w:p>
    <w:p w:rsidR="00815E9A" w:rsidRDefault="00815E9A" w:rsidP="00360E28">
      <w:pPr>
        <w:jc w:val="both"/>
        <w:rPr>
          <w:rFonts w:ascii="Times New Roman" w:hAnsi="Times New Roman" w:cs="Times New Roman"/>
          <w:b/>
          <w:bCs/>
          <w:color w:val="C0504D"/>
          <w:sz w:val="32"/>
          <w:szCs w:val="32"/>
        </w:rPr>
      </w:pPr>
    </w:p>
    <w:p w:rsidR="00815E9A" w:rsidRPr="00B4270B" w:rsidRDefault="00815E9A" w:rsidP="00360E28">
      <w:pPr>
        <w:jc w:val="both"/>
        <w:rPr>
          <w:rFonts w:ascii="Times New Roman" w:hAnsi="Times New Roman" w:cs="Times New Roman"/>
          <w:b/>
          <w:bCs/>
          <w:color w:val="C0504D"/>
          <w:sz w:val="32"/>
          <w:szCs w:val="32"/>
        </w:rPr>
      </w:pPr>
    </w:p>
    <w:p w:rsidR="00815E9A" w:rsidRDefault="00815E9A" w:rsidP="00360E28">
      <w:pPr>
        <w:jc w:val="both"/>
        <w:rPr>
          <w:rFonts w:ascii="Times New Roman" w:hAnsi="Times New Roman" w:cs="Times New Roman"/>
          <w:b/>
          <w:bCs/>
          <w:color w:val="C0504D"/>
          <w:sz w:val="32"/>
          <w:szCs w:val="32"/>
        </w:rPr>
      </w:pPr>
    </w:p>
    <w:p w:rsidR="00815E9A" w:rsidRDefault="00815E9A" w:rsidP="00360E28">
      <w:pPr>
        <w:pStyle w:val="a5"/>
        <w:numPr>
          <w:ilvl w:val="0"/>
          <w:numId w:val="2"/>
        </w:numPr>
        <w:jc w:val="both"/>
        <w:rPr>
          <w:rFonts w:ascii="Times New Roman" w:hAnsi="Times New Roman" w:cs="Times New Roman"/>
          <w:b/>
          <w:bCs/>
          <w:color w:val="C0504D"/>
          <w:sz w:val="32"/>
          <w:szCs w:val="32"/>
        </w:rPr>
      </w:pPr>
      <w:r w:rsidRPr="00360E28">
        <w:rPr>
          <w:rFonts w:ascii="Times New Roman" w:hAnsi="Times New Roman" w:cs="Times New Roman"/>
          <w:b/>
          <w:bCs/>
          <w:color w:val="C0504D"/>
          <w:sz w:val="32"/>
          <w:szCs w:val="32"/>
        </w:rPr>
        <w:t>Εισαγωγή.</w:t>
      </w:r>
    </w:p>
    <w:p w:rsidR="00815E9A" w:rsidRDefault="00815E9A" w:rsidP="00360E28">
      <w:pPr>
        <w:ind w:firstLine="360"/>
        <w:jc w:val="both"/>
        <w:rPr>
          <w:rFonts w:ascii="Times New Roman" w:hAnsi="Times New Roman" w:cs="Times New Roman"/>
          <w:b/>
          <w:bCs/>
          <w:sz w:val="24"/>
          <w:szCs w:val="24"/>
        </w:rPr>
      </w:pPr>
      <w:r>
        <w:rPr>
          <w:rFonts w:ascii="Times New Roman" w:hAnsi="Times New Roman" w:cs="Times New Roman"/>
          <w:b/>
          <w:bCs/>
          <w:sz w:val="24"/>
          <w:szCs w:val="24"/>
        </w:rPr>
        <w:t xml:space="preserve">Η Περιφερειακή Διεύθυνση Πρωτοβάθμιας και Δευτεροβάθμιας Εκπαίδευσης Βορείου Αιγαίου (εφεξής ΠΔΕ), εδρεύει στη Μυτιλήνη, Ελευθερίου Βενιζέλου 26. Στην οργανωτική δομή της ΠΔΕ  υπάγονται οι Διευθύνσεις ΠΕ και ΔΕ Λέσβου, Χίου και Σάμου, καθώς και οι αποκεντρωμένες υπηρεσίες εκπαίδευσης των Περιφερειακών Ενοτήτων Βορείου Αιγαίου. Στην ΠΔΕ Βορείου Αιγαίου υπηρετούν 4151 εκπαιδευτικοί στην Π/θμια και Δ/θμια Εκπ/ση σε 414 σχολικές μονάδες. Οι 304 Σ.Μ ανήκουν στην Π/θμια και οι 110 στην Δ/θμια Εκπ/ση. </w:t>
      </w:r>
    </w:p>
    <w:p w:rsidR="00815E9A" w:rsidRDefault="00815E9A" w:rsidP="00360E28">
      <w:pPr>
        <w:ind w:firstLine="360"/>
        <w:jc w:val="both"/>
        <w:rPr>
          <w:rFonts w:ascii="Times New Roman" w:hAnsi="Times New Roman" w:cs="Times New Roman"/>
          <w:b/>
          <w:bCs/>
          <w:sz w:val="24"/>
          <w:szCs w:val="24"/>
        </w:rPr>
      </w:pPr>
      <w:r>
        <w:rPr>
          <w:rFonts w:ascii="Times New Roman" w:hAnsi="Times New Roman" w:cs="Times New Roman"/>
          <w:b/>
          <w:bCs/>
          <w:sz w:val="24"/>
          <w:szCs w:val="24"/>
        </w:rPr>
        <w:t>Η ΠΔΕ Βορείου Αιγαίου ακολουθεί τη διάρθρωση πολυνησιωτικού δικτύου για να ανταποκρίνεται στις ιδιαιτερότητες της νησιωτικότητας και τις αυξημένες ανάγκες των σχολικών μονάδων, των εκπαιδευτικών και των μαθητών.</w:t>
      </w:r>
    </w:p>
    <w:p w:rsidR="00815E9A" w:rsidRDefault="00815E9A" w:rsidP="00360E28">
      <w:pPr>
        <w:ind w:firstLine="360"/>
        <w:jc w:val="both"/>
        <w:rPr>
          <w:rFonts w:ascii="Times New Roman" w:hAnsi="Times New Roman" w:cs="Times New Roman"/>
          <w:b/>
          <w:bCs/>
          <w:sz w:val="24"/>
          <w:szCs w:val="24"/>
        </w:rPr>
      </w:pPr>
      <w:r>
        <w:rPr>
          <w:rFonts w:ascii="Times New Roman" w:hAnsi="Times New Roman" w:cs="Times New Roman"/>
          <w:b/>
          <w:bCs/>
          <w:sz w:val="24"/>
          <w:szCs w:val="24"/>
        </w:rPr>
        <w:t xml:space="preserve">Στις 6 Ιανουαρίου 2013 αναλάβαμε την ευθύνη διοίκησης των υπηρεσιών της ΠΔΕ Βορείου Αιγαίου με βασικό στόχο την υλοποίηση της εκπαιδευτικής πολιτικής και την εύρυθμη λειτουργία των σχολικών μονάδων, των περιφερειακών υπηρεσιών και την επίλυση των προβλημάτων που ανακύπτουν. </w:t>
      </w:r>
    </w:p>
    <w:p w:rsidR="00815E9A" w:rsidRDefault="00815E9A" w:rsidP="00360E28">
      <w:pPr>
        <w:ind w:firstLine="360"/>
        <w:jc w:val="both"/>
        <w:rPr>
          <w:rFonts w:ascii="Times New Roman" w:hAnsi="Times New Roman" w:cs="Times New Roman"/>
          <w:b/>
          <w:bCs/>
          <w:sz w:val="24"/>
          <w:szCs w:val="24"/>
        </w:rPr>
      </w:pPr>
    </w:p>
    <w:p w:rsidR="00815E9A" w:rsidRDefault="00815E9A" w:rsidP="000019F9">
      <w:pPr>
        <w:pStyle w:val="a5"/>
        <w:numPr>
          <w:ilvl w:val="0"/>
          <w:numId w:val="2"/>
        </w:numPr>
        <w:jc w:val="both"/>
        <w:rPr>
          <w:rFonts w:ascii="Times New Roman" w:hAnsi="Times New Roman" w:cs="Times New Roman"/>
          <w:b/>
          <w:bCs/>
          <w:color w:val="C0504D"/>
          <w:sz w:val="32"/>
          <w:szCs w:val="32"/>
        </w:rPr>
      </w:pPr>
      <w:r>
        <w:rPr>
          <w:rFonts w:ascii="Times New Roman" w:hAnsi="Times New Roman" w:cs="Times New Roman"/>
          <w:b/>
          <w:bCs/>
          <w:color w:val="C0504D"/>
          <w:sz w:val="32"/>
          <w:szCs w:val="32"/>
        </w:rPr>
        <w:t>Γενικό περίγραμμα των δράσεων</w:t>
      </w:r>
      <w:r w:rsidRPr="000019F9">
        <w:rPr>
          <w:rFonts w:ascii="Times New Roman" w:hAnsi="Times New Roman" w:cs="Times New Roman"/>
          <w:b/>
          <w:bCs/>
          <w:color w:val="C0504D"/>
          <w:sz w:val="32"/>
          <w:szCs w:val="32"/>
        </w:rPr>
        <w:t xml:space="preserve"> της Περιφερειακής Διεύθυνσης Εκπαίδευσης</w:t>
      </w:r>
      <w:r>
        <w:rPr>
          <w:rFonts w:ascii="Times New Roman" w:hAnsi="Times New Roman" w:cs="Times New Roman"/>
          <w:b/>
          <w:bCs/>
          <w:color w:val="C0504D"/>
          <w:sz w:val="32"/>
          <w:szCs w:val="32"/>
        </w:rPr>
        <w:t>.</w:t>
      </w:r>
    </w:p>
    <w:p w:rsidR="00815E9A" w:rsidRDefault="00815E9A" w:rsidP="009F3725">
      <w:pPr>
        <w:ind w:firstLine="284"/>
        <w:jc w:val="both"/>
        <w:rPr>
          <w:rFonts w:ascii="Times New Roman" w:hAnsi="Times New Roman" w:cs="Times New Roman"/>
          <w:b/>
          <w:bCs/>
          <w:sz w:val="24"/>
          <w:szCs w:val="24"/>
        </w:rPr>
      </w:pPr>
      <w:r>
        <w:rPr>
          <w:rFonts w:ascii="Times New Roman" w:hAnsi="Times New Roman" w:cs="Times New Roman"/>
          <w:b/>
          <w:bCs/>
          <w:sz w:val="24"/>
          <w:szCs w:val="24"/>
        </w:rPr>
        <w:t xml:space="preserve">Στην ΠΔΕ Βορείου Αιγαίου εφαρμόζουμε ολοκληρωμένο σύστημα σχεδιασμού και  προγραμματισμού των λειτουργιών της διοίκησης με σκοπό την αποτελεσματική υλοποίηση των στρατηγικών μας στόχων. Συνακόλουθα, στοχεύουμε στη δημιουργία ενός σύγχρονου εκπαιδευτικού περιβάλλοντος που λαμβάνει υπόψη όλους τους καθοριστικούς παράγοντες και αξιοποιεί με τον καλύτερο δυνατό τρόπο τις δυνατότητες και ικανότητες όλων των εμπλεκομένων στη διαδικασία της μάθησης. Πρωταρχικό μας μέλημα είναι η παροχή ολόπλευρης στήριξης στους εκπαιδευτικούς, στους μαθητές και στους γονείς, με την βεβαιότητα  πως η στήριξη αυτή καθιστά τους μαθητές ικανούς να βελτιώσουν το αύριο όλων μας μέσα από την εκπαίδευση. </w:t>
      </w:r>
    </w:p>
    <w:p w:rsidR="00815E9A" w:rsidRDefault="00815E9A" w:rsidP="009F3725">
      <w:pPr>
        <w:ind w:firstLine="284"/>
        <w:jc w:val="both"/>
        <w:rPr>
          <w:rFonts w:ascii="Times New Roman" w:hAnsi="Times New Roman" w:cs="Times New Roman"/>
          <w:b/>
          <w:bCs/>
          <w:sz w:val="24"/>
          <w:szCs w:val="24"/>
        </w:rPr>
      </w:pPr>
      <w:r>
        <w:rPr>
          <w:rFonts w:ascii="Times New Roman" w:hAnsi="Times New Roman" w:cs="Times New Roman"/>
          <w:b/>
          <w:bCs/>
          <w:sz w:val="24"/>
          <w:szCs w:val="24"/>
        </w:rPr>
        <w:t xml:space="preserve">Το όραμά μας, μέσα στο διαρκώς μεταβαλλόμενο οικονομικό και κοινωνικό τοπίο, συνοψίζεται στη φράση: </w:t>
      </w:r>
      <w:r w:rsidRPr="00F27B12">
        <w:rPr>
          <w:rFonts w:ascii="Times New Roman" w:hAnsi="Times New Roman" w:cs="Times New Roman"/>
          <w:b/>
          <w:bCs/>
          <w:i/>
          <w:iCs/>
          <w:sz w:val="24"/>
          <w:szCs w:val="24"/>
        </w:rPr>
        <w:t>«η αχτίδα ελπίδας εναποτίθεται στην Παιδεία»</w:t>
      </w:r>
      <w:r>
        <w:rPr>
          <w:rFonts w:ascii="Times New Roman" w:hAnsi="Times New Roman" w:cs="Times New Roman"/>
          <w:b/>
          <w:bCs/>
          <w:sz w:val="24"/>
          <w:szCs w:val="24"/>
        </w:rPr>
        <w:t>. Έχοντας συνεχώς κατά νου τις ευθύνες που απορρέουν από τη θέση που υπηρετούμε, βαδίσαμε απαρέγκλιτα στις αρχές που συμπυκνώνονται στη φράση: «</w:t>
      </w:r>
      <w:r w:rsidRPr="00C533CC">
        <w:rPr>
          <w:rFonts w:ascii="Times New Roman" w:hAnsi="Times New Roman" w:cs="Times New Roman"/>
          <w:b/>
          <w:bCs/>
          <w:sz w:val="24"/>
          <w:szCs w:val="24"/>
        </w:rPr>
        <w:t>Τον άρχοντα τριών δει μέμνησθαι: Πρώτον ότι ανθρώπων άρχει. Δεύτερον ότι κατά νόμους άρχει. Τρίτον ότι ουκ αεί άρχει</w:t>
      </w:r>
      <w:r>
        <w:rPr>
          <w:rFonts w:ascii="Times New Roman" w:hAnsi="Times New Roman" w:cs="Times New Roman"/>
          <w:b/>
          <w:bCs/>
          <w:sz w:val="24"/>
          <w:szCs w:val="24"/>
        </w:rPr>
        <w:t>»</w:t>
      </w:r>
      <w:r w:rsidRPr="00C533CC">
        <w:rPr>
          <w:rFonts w:ascii="Times New Roman" w:hAnsi="Times New Roman" w:cs="Times New Roman"/>
          <w:b/>
          <w:bCs/>
          <w:sz w:val="24"/>
          <w:szCs w:val="24"/>
        </w:rPr>
        <w:t>. (Αγάθων,</w:t>
      </w:r>
      <w:r>
        <w:rPr>
          <w:rFonts w:ascii="Times New Roman" w:hAnsi="Times New Roman" w:cs="Times New Roman"/>
          <w:b/>
          <w:bCs/>
          <w:sz w:val="24"/>
          <w:szCs w:val="24"/>
        </w:rPr>
        <w:t xml:space="preserve"> </w:t>
      </w:r>
      <w:r w:rsidRPr="00C533CC">
        <w:rPr>
          <w:rFonts w:ascii="Times New Roman" w:hAnsi="Times New Roman" w:cs="Times New Roman"/>
          <w:b/>
          <w:bCs/>
          <w:sz w:val="24"/>
          <w:szCs w:val="24"/>
        </w:rPr>
        <w:t>450-400 π.Χ.)</w:t>
      </w:r>
      <w:r>
        <w:rPr>
          <w:rFonts w:ascii="Times New Roman" w:hAnsi="Times New Roman" w:cs="Times New Roman"/>
          <w:b/>
          <w:bCs/>
          <w:sz w:val="24"/>
          <w:szCs w:val="24"/>
        </w:rPr>
        <w:t xml:space="preserve">. Με αυτή την αρχή ως κεντρικό πυλώνα της στρατηγικής μας πορευτήκαμε τους είκοσι επτά (27) μήνες που η Πολιτεία μας εμπιστεύτηκε την διοικητική καθοδήγηση του ανθρώπινου δυναμικού της περιφέρειας Βορείου Αιγαίου. </w:t>
      </w:r>
    </w:p>
    <w:p w:rsidR="00815E9A" w:rsidRDefault="00815E9A" w:rsidP="005D6400">
      <w:pPr>
        <w:ind w:firstLine="36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Στο κέντρο όλου του σχεδιασμού και προγραμματισμού, καθώς και των δράσεων της ΠΔΕ βρίσκεται ο μαθητής ως φυσικός πρωταγωνιστής της Παιδείας. Σε ρόλο συμπρωταγωνιστών δικαιωματικά τοποθετούνται οι μάχιμοι εκπαιδευτικοί όλων των βαθμίδων εκπαίδευσης, από την Προσχολική και την Ειδική Αγωγή μέχρι τη Δευτεροβάθμια και την Επαγγελματική Εκπαίδευση. Στο πλαίσιο αυτό δώσαμε την απαιτούμενη προσοχή και αρωγή σε όλα τα στελέχη που ανήκουν στην ΠΔΕ, για την  απρόσκοπτη άσκηση των καθηκόντων τους. Προς αυτή την κατεύθυνση εγκαθιδρύσαμε κουλτούρα συνεχούς προσωπικής επαφής, αλλά και διαδικτυακής συνεργασίας με τους Διευθυντές Εκπαίδευσης, τους Προϊσταμένους των διοικητικών υπηρεσιών και τα στελέχη τα οποία είναι επιφορτισμένα με την παιδαγωγική καθοδήγηση των εκπαιδευτικών. </w:t>
      </w:r>
    </w:p>
    <w:p w:rsidR="00815E9A" w:rsidRDefault="00815E9A" w:rsidP="00CB4A1C">
      <w:pPr>
        <w:ind w:firstLine="360"/>
        <w:jc w:val="both"/>
        <w:rPr>
          <w:rFonts w:ascii="Times New Roman" w:hAnsi="Times New Roman" w:cs="Times New Roman"/>
          <w:b/>
          <w:bCs/>
          <w:sz w:val="24"/>
          <w:szCs w:val="24"/>
        </w:rPr>
      </w:pPr>
      <w:r>
        <w:rPr>
          <w:rFonts w:ascii="Times New Roman" w:hAnsi="Times New Roman" w:cs="Times New Roman"/>
          <w:b/>
          <w:bCs/>
          <w:sz w:val="24"/>
          <w:szCs w:val="24"/>
        </w:rPr>
        <w:t xml:space="preserve">Στις αρχές της θητείας μας ως επικεφαλής της διοικητικής πυραμίδας της εκπαίδευσης στο Βόρειο Αιγαίο καταγράψαμε όλα τα δυνατά και αδύνατα σημεία της διοικητικής οργάνωσης της υπηρεσίας και εκτιμήσαμε σε ρεαλιστική βάση τις ευκαιρίες και τις απειλές που παρουσίαζε το εξωτερικό περιβάλλον. Λειτουργήσαμε με αποκλειστικό γνώμονα τη μεγιστοποίηση του οφέλους της παρεχόμενης εκπαίδευσης για τους μαθητές και τους γονείς τους, καθώς και την ορθολογική αξιοποίηση του εκπαιδευτικού δυναμικού που τέθηκε στη διάθεσή μας με αποκλειστικό στόχο την κατά το δυνατόν εύρυθμη λειτουργία των σχολικών μονάδων. Συνυπολογίζοντας τις ιδιαιτερότητες της νησιωτικής, ακριτικής περιοχής στην οποία υπηρετούμε, θεωρούμε  πως οι ανωτέρω βασικοί στόχοι επετεύχθησαν σε ικανοποιητικό βαθμό και με τη μικρότερη δυνατή ταλαιπωρία ανθρώπων και σπατάλη υλικών πόρων. </w:t>
      </w:r>
    </w:p>
    <w:p w:rsidR="00815E9A" w:rsidRDefault="00815E9A" w:rsidP="00CB4A1C">
      <w:pPr>
        <w:ind w:firstLine="360"/>
        <w:jc w:val="both"/>
        <w:rPr>
          <w:rFonts w:ascii="Times New Roman" w:hAnsi="Times New Roman" w:cs="Times New Roman"/>
          <w:b/>
          <w:bCs/>
          <w:sz w:val="24"/>
          <w:szCs w:val="24"/>
        </w:rPr>
      </w:pPr>
      <w:r>
        <w:rPr>
          <w:rFonts w:ascii="Times New Roman" w:hAnsi="Times New Roman" w:cs="Times New Roman"/>
          <w:b/>
          <w:bCs/>
          <w:sz w:val="24"/>
          <w:szCs w:val="24"/>
        </w:rPr>
        <w:t>Ακολουθώντας διεθνώς αποδεκτά πρότυπα εκπονήσαμε τον Στρατηγικό Προγραμματισμό (εφεξής Σ.Π) της ΠΔΕ Βορείου Αιγαίου. Το κείμενο του Σ.Π αποτελεί την προγραμματική απόκριση στις αναδυόμενες προκλήσεις του σύγχρονου εκπαιδευτικού γίγνεσθαι, προσδιορίζει τις στρατηγικές επιδιώξεις μας, διαμορφώνει τους απορρέοντες στόχους και καθορίζει τους άξονες προτεραιότητας. Συνακόλουθα προδιαγράφει τις δράσεις που προωθούνται από την ΠΔΕ για την επιτέλεση του ρόλου και της αποστολής της. Σε αυτή τη βάση εδράζεται και ο παρών απολογισμός πεπραγμένων ακολουθώντας τους άξονες όπως περιγράφονται στον Στρατηγικό Προγραμματισμό 2014-2018.</w:t>
      </w:r>
    </w:p>
    <w:p w:rsidR="00815E9A" w:rsidRPr="009E0DCB" w:rsidRDefault="00815E9A" w:rsidP="00CB4A1C">
      <w:pPr>
        <w:ind w:firstLine="360"/>
        <w:jc w:val="both"/>
        <w:rPr>
          <w:rFonts w:ascii="Times New Roman" w:hAnsi="Times New Roman" w:cs="Times New Roman"/>
          <w:b/>
          <w:bCs/>
          <w:sz w:val="24"/>
          <w:szCs w:val="24"/>
        </w:rPr>
      </w:pPr>
    </w:p>
    <w:p w:rsidR="00815E9A" w:rsidRDefault="00815E9A" w:rsidP="009E0DCB">
      <w:pPr>
        <w:pStyle w:val="a5"/>
        <w:numPr>
          <w:ilvl w:val="0"/>
          <w:numId w:val="2"/>
        </w:numPr>
        <w:jc w:val="both"/>
        <w:rPr>
          <w:rFonts w:ascii="Times New Roman" w:hAnsi="Times New Roman" w:cs="Times New Roman"/>
          <w:b/>
          <w:bCs/>
          <w:color w:val="C0504D"/>
          <w:sz w:val="32"/>
          <w:szCs w:val="32"/>
        </w:rPr>
      </w:pPr>
      <w:r w:rsidRPr="009E0DCB">
        <w:rPr>
          <w:rFonts w:ascii="Times New Roman" w:hAnsi="Times New Roman" w:cs="Times New Roman"/>
          <w:b/>
          <w:bCs/>
          <w:color w:val="C0504D"/>
          <w:sz w:val="32"/>
          <w:szCs w:val="32"/>
        </w:rPr>
        <w:t xml:space="preserve"> </w:t>
      </w:r>
      <w:r>
        <w:rPr>
          <w:rFonts w:ascii="Times New Roman" w:hAnsi="Times New Roman" w:cs="Times New Roman"/>
          <w:b/>
          <w:bCs/>
          <w:color w:val="C0504D"/>
          <w:sz w:val="32"/>
          <w:szCs w:val="32"/>
        </w:rPr>
        <w:t>Σύνδεση με τους άξονες του Στρατηγικού Προγραμματισμού 2014-18.</w:t>
      </w:r>
    </w:p>
    <w:p w:rsidR="00815E9A" w:rsidRDefault="00815E9A" w:rsidP="00C579F7">
      <w:pPr>
        <w:ind w:firstLine="644"/>
        <w:jc w:val="both"/>
        <w:rPr>
          <w:rFonts w:ascii="Times New Roman" w:hAnsi="Times New Roman" w:cs="Times New Roman"/>
          <w:b/>
          <w:bCs/>
          <w:sz w:val="24"/>
          <w:szCs w:val="24"/>
        </w:rPr>
      </w:pPr>
      <w:r>
        <w:rPr>
          <w:rFonts w:ascii="Times New Roman" w:hAnsi="Times New Roman" w:cs="Times New Roman"/>
          <w:b/>
          <w:bCs/>
          <w:sz w:val="24"/>
          <w:szCs w:val="24"/>
        </w:rPr>
        <w:t xml:space="preserve">Οι στρατηγικές επιδιώξεις της Περιφερειακής Διεύθυνσης Εκπαίδευσης Βορείου Αιγαίου προωθούνται ποικιλόμορφα με επικεντρωμένες δράσεις, οι οποίες αναλύονται σε έξι (6) άξονες. Οι πυλώνες αυτοί εστιάζουν στους επιμέρους στόχους της ΠΔΕ και εδράζονται στις δημοκρατικές αρχές διοικητικής και παιδαγωγικής πρακτικής. Είναι επιβεβλημένο να αναφέρουμε πως ο στρατηγικός προγραμματισμός είναι αποτέλεσμα διαβούλευσης με όλες τις υπηρεσίες της ΠΔΕ επί ικανό χρονικό διάστημα  και </w:t>
      </w:r>
      <w:r>
        <w:rPr>
          <w:rFonts w:ascii="Times New Roman" w:hAnsi="Times New Roman" w:cs="Times New Roman"/>
          <w:b/>
          <w:bCs/>
          <w:sz w:val="24"/>
          <w:szCs w:val="24"/>
        </w:rPr>
        <w:lastRenderedPageBreak/>
        <w:t>στηρίζεται στις πρακτικές που ήδη εφαρμόζονταν ως διοικητική και παιδαγωγική τακτική. Επιθυμούμε να τονίσουμε δηλαδή, πως για το διάστημα που προηγήθηκε της επίσημης σύνταξης και δημοσιοποίησης του τελικού κειμένου του προγραμματισμού, υλοποιούνταν σε πολλά σημεία οι δεσμεύσεις που απορρέουν από αυτόν. Βασική μας παραδοχή είναι πως η διοίκηση οφείλει να έχει συνέχεια και να αντιμετωπίζει με ενιαίο τρόπο όλες τις παραμέτρους, υλικές και έμψυχες, καταβάλλοντας κάθε δυνατή προσπάθεια αξιοποίησης του παρελθόντος για να οδηγηθεί με σταθερά βήματα στο μέλλον. Υπό αυτήν την έννοια οι έξι πυλώνες του προγραμματισμού εξυπηρετούνταν και πριν την επίσημη δημοσίευση του κειμένου και ευελπιστούμε πως θα συνεχιστεί η εφαρμογή του με τις απαραίτητες διορθώσεις όπου τυχόν απαιτείται.</w:t>
      </w:r>
    </w:p>
    <w:p w:rsidR="00815E9A" w:rsidRPr="003E53BB" w:rsidRDefault="00815E9A" w:rsidP="003E53BB">
      <w:pPr>
        <w:pStyle w:val="a5"/>
        <w:numPr>
          <w:ilvl w:val="0"/>
          <w:numId w:val="2"/>
        </w:numPr>
        <w:jc w:val="both"/>
        <w:rPr>
          <w:rFonts w:ascii="Times New Roman" w:hAnsi="Times New Roman" w:cs="Times New Roman"/>
          <w:b/>
          <w:bCs/>
          <w:color w:val="C0504D"/>
          <w:sz w:val="32"/>
          <w:szCs w:val="32"/>
        </w:rPr>
      </w:pPr>
      <w:r>
        <w:rPr>
          <w:rFonts w:ascii="Times New Roman" w:hAnsi="Times New Roman" w:cs="Times New Roman"/>
          <w:b/>
          <w:bCs/>
          <w:color w:val="C0504D"/>
          <w:sz w:val="32"/>
          <w:szCs w:val="32"/>
        </w:rPr>
        <w:t>Αναλυτικός απολογισμός κατά άξονα προγραμματισμού.</w:t>
      </w:r>
    </w:p>
    <w:p w:rsidR="00815E9A" w:rsidRDefault="00815E9A" w:rsidP="00893CA3">
      <w:pPr>
        <w:ind w:firstLine="644"/>
        <w:jc w:val="both"/>
        <w:rPr>
          <w:rFonts w:ascii="Times New Roman" w:hAnsi="Times New Roman" w:cs="Times New Roman"/>
          <w:b/>
          <w:bCs/>
          <w:sz w:val="24"/>
          <w:szCs w:val="24"/>
        </w:rPr>
      </w:pPr>
      <w:r>
        <w:rPr>
          <w:rFonts w:ascii="Times New Roman" w:hAnsi="Times New Roman" w:cs="Times New Roman"/>
          <w:b/>
          <w:bCs/>
          <w:sz w:val="24"/>
          <w:szCs w:val="24"/>
        </w:rPr>
        <w:t xml:space="preserve">Η σύνταξη του παρόντος απολογισμού στηρίζεται στην επεξεργασία των πρωτογενών στοιχείων που τηρούνται στην υπηρεσία και απορρέουν από την υλοποίηση των κατευθύνσεων του προγραμματισμού (Σ.Π) και το σύνολο των ενεργειών των στελεχών  διοίκησης που ανήκουν στην ΠΔΕ Βορείου Αιγαίου. </w:t>
      </w:r>
      <w:r w:rsidRPr="00893CA3">
        <w:rPr>
          <w:rFonts w:ascii="Times New Roman" w:hAnsi="Times New Roman" w:cs="Times New Roman"/>
          <w:b/>
          <w:bCs/>
          <w:sz w:val="24"/>
          <w:szCs w:val="24"/>
        </w:rPr>
        <w:t>Ειδικότερ</w:t>
      </w:r>
      <w:r>
        <w:rPr>
          <w:rFonts w:ascii="Times New Roman" w:hAnsi="Times New Roman" w:cs="Times New Roman"/>
          <w:b/>
          <w:bCs/>
          <w:sz w:val="24"/>
          <w:szCs w:val="24"/>
        </w:rPr>
        <w:t>α συλλέγονται</w:t>
      </w:r>
      <w:r w:rsidRPr="00893CA3">
        <w:rPr>
          <w:rFonts w:ascii="Times New Roman" w:hAnsi="Times New Roman" w:cs="Times New Roman"/>
          <w:b/>
          <w:bCs/>
          <w:sz w:val="24"/>
          <w:szCs w:val="24"/>
        </w:rPr>
        <w:t xml:space="preserve"> στοιχεία από αρχεία και βάσεις δεδομέν</w:t>
      </w:r>
      <w:r>
        <w:rPr>
          <w:rFonts w:ascii="Times New Roman" w:hAnsi="Times New Roman" w:cs="Times New Roman"/>
          <w:b/>
          <w:bCs/>
          <w:sz w:val="24"/>
          <w:szCs w:val="24"/>
        </w:rPr>
        <w:t>ων που διατηρούνται στις διοικητικές υπηρεσίες</w:t>
      </w:r>
      <w:r w:rsidRPr="00893CA3">
        <w:rPr>
          <w:rFonts w:ascii="Times New Roman" w:hAnsi="Times New Roman" w:cs="Times New Roman"/>
          <w:b/>
          <w:bCs/>
          <w:sz w:val="24"/>
          <w:szCs w:val="24"/>
        </w:rPr>
        <w:t>, όπως:</w:t>
      </w:r>
    </w:p>
    <w:p w:rsidR="00815E9A" w:rsidRPr="001A00F4" w:rsidRDefault="00815E9A" w:rsidP="001A00F4">
      <w:pPr>
        <w:ind w:firstLine="644"/>
        <w:jc w:val="both"/>
        <w:rPr>
          <w:rFonts w:ascii="Times New Roman" w:hAnsi="Times New Roman" w:cs="Times New Roman"/>
          <w:b/>
          <w:bCs/>
          <w:sz w:val="24"/>
          <w:szCs w:val="24"/>
        </w:rPr>
      </w:pPr>
      <w:r w:rsidRPr="001A00F4">
        <w:rPr>
          <w:rFonts w:ascii="Times New Roman" w:hAnsi="Times New Roman" w:cs="Times New Roman"/>
          <w:b/>
          <w:bCs/>
          <w:sz w:val="24"/>
          <w:szCs w:val="24"/>
        </w:rPr>
        <w:t>● το Πληροφοριακό Σύστημα</w:t>
      </w:r>
    </w:p>
    <w:p w:rsidR="00815E9A" w:rsidRPr="001A00F4" w:rsidRDefault="00815E9A" w:rsidP="001A00F4">
      <w:pPr>
        <w:ind w:firstLine="644"/>
        <w:jc w:val="both"/>
        <w:rPr>
          <w:rFonts w:ascii="Times New Roman" w:hAnsi="Times New Roman" w:cs="Times New Roman"/>
          <w:b/>
          <w:bCs/>
          <w:sz w:val="24"/>
          <w:szCs w:val="24"/>
        </w:rPr>
      </w:pPr>
      <w:r>
        <w:rPr>
          <w:rFonts w:ascii="Times New Roman" w:hAnsi="Times New Roman" w:cs="Times New Roman"/>
          <w:b/>
          <w:bCs/>
          <w:sz w:val="24"/>
          <w:szCs w:val="24"/>
        </w:rPr>
        <w:t>● τα Αρχεία υπηρεσιακών φακέλων</w:t>
      </w:r>
    </w:p>
    <w:p w:rsidR="00815E9A" w:rsidRPr="001A00F4" w:rsidRDefault="00815E9A" w:rsidP="001A00F4">
      <w:pPr>
        <w:ind w:firstLine="644"/>
        <w:jc w:val="both"/>
        <w:rPr>
          <w:rFonts w:ascii="Times New Roman" w:hAnsi="Times New Roman" w:cs="Times New Roman"/>
          <w:b/>
          <w:bCs/>
          <w:sz w:val="24"/>
          <w:szCs w:val="24"/>
        </w:rPr>
      </w:pPr>
      <w:r w:rsidRPr="001A00F4">
        <w:rPr>
          <w:rFonts w:ascii="Times New Roman" w:hAnsi="Times New Roman" w:cs="Times New Roman"/>
          <w:b/>
          <w:bCs/>
          <w:sz w:val="24"/>
          <w:szCs w:val="24"/>
        </w:rPr>
        <w:t>● το Πρωτόκολλο Τήρησης Αλληλογραφίας</w:t>
      </w:r>
    </w:p>
    <w:p w:rsidR="00815E9A" w:rsidRPr="001A00F4" w:rsidRDefault="00815E9A" w:rsidP="001A00F4">
      <w:pPr>
        <w:ind w:firstLine="644"/>
        <w:jc w:val="both"/>
        <w:rPr>
          <w:rFonts w:ascii="Times New Roman" w:hAnsi="Times New Roman" w:cs="Times New Roman"/>
          <w:b/>
          <w:bCs/>
          <w:sz w:val="24"/>
          <w:szCs w:val="24"/>
        </w:rPr>
      </w:pPr>
      <w:r w:rsidRPr="001A00F4">
        <w:rPr>
          <w:rFonts w:ascii="Times New Roman" w:hAnsi="Times New Roman" w:cs="Times New Roman"/>
          <w:b/>
          <w:bCs/>
          <w:sz w:val="24"/>
          <w:szCs w:val="24"/>
        </w:rPr>
        <w:t>● τις Αναφορές του Παραδοτέου Υλικού</w:t>
      </w:r>
    </w:p>
    <w:p w:rsidR="00815E9A" w:rsidRDefault="00815E9A" w:rsidP="001A00F4">
      <w:pPr>
        <w:ind w:firstLine="644"/>
        <w:jc w:val="both"/>
        <w:rPr>
          <w:rFonts w:ascii="Times New Roman" w:hAnsi="Times New Roman" w:cs="Times New Roman"/>
          <w:b/>
          <w:bCs/>
          <w:sz w:val="24"/>
          <w:szCs w:val="24"/>
        </w:rPr>
      </w:pPr>
      <w:r w:rsidRPr="001A00F4">
        <w:rPr>
          <w:rFonts w:ascii="Times New Roman" w:hAnsi="Times New Roman" w:cs="Times New Roman"/>
          <w:b/>
          <w:bCs/>
          <w:sz w:val="24"/>
          <w:szCs w:val="24"/>
        </w:rPr>
        <w:t>● τα Αρχεία κειμένων</w:t>
      </w:r>
    </w:p>
    <w:p w:rsidR="00815E9A" w:rsidRDefault="00815E9A" w:rsidP="001A00F4">
      <w:pPr>
        <w:ind w:firstLine="644"/>
        <w:jc w:val="both"/>
        <w:rPr>
          <w:rFonts w:ascii="Times New Roman" w:hAnsi="Times New Roman" w:cs="Times New Roman"/>
          <w:b/>
          <w:bCs/>
          <w:sz w:val="24"/>
          <w:szCs w:val="24"/>
        </w:rPr>
      </w:pPr>
      <w:r>
        <w:rPr>
          <w:rFonts w:ascii="Times New Roman" w:hAnsi="Times New Roman" w:cs="Times New Roman"/>
          <w:b/>
          <w:bCs/>
          <w:sz w:val="24"/>
          <w:szCs w:val="24"/>
        </w:rPr>
        <w:t>Από την επεξεργασία των στοιχείων και την αντιστοίχισή τους με τους έξι άξονες του Σ.Π προέκυψαν τα κάτωθι αποτελέσματα ανά άξονα:</w:t>
      </w:r>
    </w:p>
    <w:p w:rsidR="00815E9A" w:rsidRPr="00FC2401" w:rsidRDefault="00815E9A" w:rsidP="00FC2401">
      <w:pPr>
        <w:pStyle w:val="a5"/>
        <w:numPr>
          <w:ilvl w:val="0"/>
          <w:numId w:val="4"/>
        </w:numPr>
        <w:ind w:left="709"/>
        <w:jc w:val="both"/>
        <w:rPr>
          <w:rFonts w:ascii="Times New Roman" w:hAnsi="Times New Roman" w:cs="Times New Roman"/>
          <w:b/>
          <w:bCs/>
          <w:sz w:val="24"/>
          <w:szCs w:val="24"/>
        </w:rPr>
      </w:pPr>
      <w:r w:rsidRPr="00F43117">
        <w:rPr>
          <w:rFonts w:ascii="Times New Roman" w:hAnsi="Times New Roman" w:cs="Times New Roman"/>
          <w:b/>
          <w:bCs/>
          <w:color w:val="C0504D"/>
          <w:sz w:val="24"/>
          <w:szCs w:val="24"/>
        </w:rPr>
        <w:t>Κατάρτιση και ανάπτυξη εκπαιδευτικού δυναμικού</w:t>
      </w:r>
      <w:r>
        <w:rPr>
          <w:rFonts w:ascii="Times New Roman" w:hAnsi="Times New Roman" w:cs="Times New Roman"/>
          <w:b/>
          <w:bCs/>
          <w:color w:val="C0504D"/>
          <w:sz w:val="24"/>
          <w:szCs w:val="24"/>
        </w:rPr>
        <w:t>.</w:t>
      </w:r>
    </w:p>
    <w:p w:rsidR="00815E9A" w:rsidRDefault="00815E9A" w:rsidP="002543B8">
      <w:pPr>
        <w:ind w:firstLine="349"/>
        <w:jc w:val="both"/>
        <w:rPr>
          <w:rFonts w:ascii="Times New Roman" w:hAnsi="Times New Roman" w:cs="Times New Roman"/>
          <w:b/>
          <w:bCs/>
          <w:sz w:val="24"/>
          <w:szCs w:val="24"/>
        </w:rPr>
      </w:pPr>
      <w:r>
        <w:rPr>
          <w:rFonts w:ascii="Times New Roman" w:hAnsi="Times New Roman" w:cs="Times New Roman"/>
          <w:b/>
          <w:bCs/>
          <w:sz w:val="24"/>
          <w:szCs w:val="24"/>
        </w:rPr>
        <w:t>Κατά το χρονικό διάστημα από τον Ιανουάριο του 201</w:t>
      </w:r>
      <w:r w:rsidRPr="00B4270B">
        <w:rPr>
          <w:rFonts w:ascii="Times New Roman" w:hAnsi="Times New Roman" w:cs="Times New Roman"/>
          <w:b/>
          <w:bCs/>
          <w:sz w:val="24"/>
          <w:szCs w:val="24"/>
        </w:rPr>
        <w:t>3</w:t>
      </w:r>
      <w:r>
        <w:rPr>
          <w:rFonts w:ascii="Times New Roman" w:hAnsi="Times New Roman" w:cs="Times New Roman"/>
          <w:b/>
          <w:bCs/>
          <w:sz w:val="24"/>
          <w:szCs w:val="24"/>
        </w:rPr>
        <w:t xml:space="preserve"> και μέχρι τη στιγμή σύνταξης του απολογισμού υλοποιήθηκαν δράσεις ενδοϋπηρεσιακής επιμόρφωσης, πραγματοποιήθηκαν επιμορφωτικά προγράμματα από τα στελέχη της εκπαίδευσης, τους Σχολικούς Συμβούλους Πρωτοβάθμιας και Δευτεροβάθμιας Εκπαίδευσης, καθώς και στο πλαίσιο του Παρατηρητηρίου για την ενδοσχολική βία. Η διάρθρωση των δράσεων παρουσιάζεται αναλυτικά ως εξής: Στην πρωτοβάθμια εκπαίδευση πραγματοποιήθηκαν στο διάστημα από Ιανουάριο 201</w:t>
      </w:r>
      <w:r w:rsidRPr="00830966">
        <w:rPr>
          <w:rFonts w:ascii="Times New Roman" w:hAnsi="Times New Roman" w:cs="Times New Roman"/>
          <w:b/>
          <w:bCs/>
          <w:sz w:val="24"/>
          <w:szCs w:val="24"/>
        </w:rPr>
        <w:t>3</w:t>
      </w:r>
      <w:r>
        <w:rPr>
          <w:rFonts w:ascii="Times New Roman" w:hAnsi="Times New Roman" w:cs="Times New Roman"/>
          <w:b/>
          <w:bCs/>
          <w:sz w:val="24"/>
          <w:szCs w:val="24"/>
        </w:rPr>
        <w:t xml:space="preserve"> κα μέχρι σήμερα εξακόσια ενενήντα επτά (697) σεμινάρια και δειγματικές διδασκαλίες στην τάξη από τους Σχολικούς Συμβούλους καθώς και σαράντα επτά (47) σεμινάρια με θέμα τον σχολικό εκφοβισμό.  Στο αντίστοιχο διάστημα στη Δευτεροβάθμια εκπαίδευση υλοποιήθηκαν πεντακόσιες ογδόντα τρεις (583) επιμορφωτικές δράσεις, επισκέψεις σχολικών μονάδων και δειγματικές διδασκαλίες. Συγχρόνως έλαβαν χώρα τριάντα πέντε (35) στοχευμένες δράσεις για το σχολικό εκφοβισμό.</w:t>
      </w:r>
    </w:p>
    <w:p w:rsidR="00815E9A" w:rsidRPr="0019580B" w:rsidRDefault="00815E9A" w:rsidP="0015346B">
      <w:pPr>
        <w:pStyle w:val="a5"/>
        <w:numPr>
          <w:ilvl w:val="0"/>
          <w:numId w:val="4"/>
        </w:numPr>
        <w:ind w:left="567"/>
        <w:jc w:val="both"/>
        <w:rPr>
          <w:rFonts w:ascii="Times New Roman" w:hAnsi="Times New Roman" w:cs="Times New Roman"/>
          <w:b/>
          <w:bCs/>
          <w:color w:val="C0504D"/>
          <w:sz w:val="24"/>
          <w:szCs w:val="24"/>
        </w:rPr>
      </w:pPr>
      <w:r w:rsidRPr="0019580B">
        <w:rPr>
          <w:rFonts w:ascii="Times New Roman" w:hAnsi="Times New Roman" w:cs="Times New Roman"/>
          <w:b/>
          <w:bCs/>
          <w:color w:val="C0504D"/>
          <w:sz w:val="24"/>
          <w:szCs w:val="24"/>
        </w:rPr>
        <w:lastRenderedPageBreak/>
        <w:t>Στήριξη Σχολικών Μονάδων για Αναβάθμιση του Ανθρώπινου Δυναμικού τους.</w:t>
      </w:r>
    </w:p>
    <w:p w:rsidR="00815E9A" w:rsidRDefault="00815E9A" w:rsidP="00CB4A1C">
      <w:pPr>
        <w:ind w:firstLine="360"/>
        <w:jc w:val="both"/>
        <w:rPr>
          <w:rFonts w:ascii="Times New Roman" w:hAnsi="Times New Roman" w:cs="Times New Roman"/>
          <w:b/>
          <w:bCs/>
          <w:sz w:val="24"/>
          <w:szCs w:val="24"/>
        </w:rPr>
      </w:pPr>
      <w:r>
        <w:rPr>
          <w:rFonts w:ascii="Times New Roman" w:hAnsi="Times New Roman" w:cs="Times New Roman"/>
          <w:b/>
          <w:bCs/>
          <w:sz w:val="24"/>
          <w:szCs w:val="24"/>
        </w:rPr>
        <w:t>Με προσήλωση στον κεντρικό στόχο ανάπτυξης του εκπαιδευτικού δυναμικού των σχολείων καταθέσαμε εμπεριστατωμένη πρόταση προς το ΕΚΔΔΑ για την υλοποίηση επιμορφωτικών προγραμμάτων για τους εκπαιδευτικούς των σχολικών μονάδων του Βορείου Αιγαίου. Συγκεκριμένα με το αρ. πρωτ. 824/26-2-2015 έγγραφο ΠΔΕ υποβάλλαμε αίτημα έγκρισης διεξαγωγής τριών (3) επιμορφωτικών σεμιναρίων με θέμα: «Διοίκηση Σχολικών Μονάδων» στις έδρες των Περιφερειακών Ενοτήτων. Η αξιοποίηση των υποδομών των σχολείων και η συμμετοχή των εκπαιδευτικών στοχεύει στην ολόπλευρη στήριξή τους, με σκοπό τη βελτίωση του παρεχόμενου εκπαιδευτικού έργου. Παραμένουμε προσηλωμένοι στο δόγμα της διαρκούς επιμόρφωσης των εκπαιδευτικών και στοχεύουμε στην καθολική συμμετοχή τους στα σεμινάρια που υλοποιούνται στην ΠΔΕ Βορείου Αιγαίου.</w:t>
      </w:r>
    </w:p>
    <w:p w:rsidR="00815E9A" w:rsidRDefault="00815E9A" w:rsidP="003142CB">
      <w:pPr>
        <w:pStyle w:val="a5"/>
        <w:numPr>
          <w:ilvl w:val="0"/>
          <w:numId w:val="4"/>
        </w:numPr>
        <w:ind w:left="993"/>
        <w:jc w:val="both"/>
        <w:rPr>
          <w:rFonts w:ascii="Times New Roman" w:hAnsi="Times New Roman" w:cs="Times New Roman"/>
          <w:b/>
          <w:bCs/>
          <w:color w:val="C0504D"/>
          <w:sz w:val="24"/>
          <w:szCs w:val="24"/>
        </w:rPr>
      </w:pPr>
      <w:r w:rsidRPr="003142CB">
        <w:rPr>
          <w:rFonts w:ascii="Times New Roman" w:hAnsi="Times New Roman" w:cs="Times New Roman"/>
          <w:b/>
          <w:bCs/>
          <w:color w:val="C0504D"/>
          <w:sz w:val="24"/>
          <w:szCs w:val="24"/>
        </w:rPr>
        <w:t>Αναβάθμιση της θεσμικής συνεργασίας με την Πολιτεία και με Εθνικούς και διεθνής φορείς</w:t>
      </w:r>
      <w:r>
        <w:rPr>
          <w:rFonts w:ascii="Times New Roman" w:hAnsi="Times New Roman" w:cs="Times New Roman"/>
          <w:b/>
          <w:bCs/>
          <w:color w:val="C0504D"/>
          <w:sz w:val="24"/>
          <w:szCs w:val="24"/>
        </w:rPr>
        <w:t>.</w:t>
      </w:r>
    </w:p>
    <w:p w:rsidR="00815E9A" w:rsidRDefault="00815E9A" w:rsidP="00984A69">
      <w:pPr>
        <w:ind w:firstLine="633"/>
        <w:jc w:val="both"/>
        <w:rPr>
          <w:rFonts w:ascii="Times New Roman" w:hAnsi="Times New Roman" w:cs="Times New Roman"/>
          <w:b/>
          <w:bCs/>
          <w:sz w:val="24"/>
          <w:szCs w:val="24"/>
        </w:rPr>
      </w:pPr>
      <w:r>
        <w:rPr>
          <w:rFonts w:ascii="Times New Roman" w:hAnsi="Times New Roman" w:cs="Times New Roman"/>
          <w:b/>
          <w:bCs/>
          <w:sz w:val="24"/>
          <w:szCs w:val="24"/>
        </w:rPr>
        <w:t>Η ανάπτυξη και ενίσχυση των συνεργασιών με θεσμικούς φορείς σε τοπικό, περιφερειακό, εθνικό και διεθνές επίπεδο αποτελεί μονόδρομο για την ΠΔΕ. Συνακόλουθα θέτουμε τις βάσεις εγκαινιάζοντας μια νέα μορφή γόνιμης διεπαφής και αποτελεσματικής συνεργασίας με όλους τους φορείς που επηρεάζουν και επηρεάζονται από το έργο μας. Η αγαστή συνεργασία, στο πλαίσιο των αρμοδιοτήτων μας, με την Περιφερειακή αυτοδιοίκηση, τους Δήμους, τις Μητροπόλεις, τις Δικαστικές και Εισαγγελικές αρχές, την Αστυνομία καθώς και όλες τις επίσημες οργανώσεις που προωθούν το εκπαιδευτικό έργο, αποτελεί εχέγγυο της ομαλής λειτουργίας των υπηρεσιών με φυσικό αποδέκτη των συνεργασιών αυτών των μαθητή.</w:t>
      </w:r>
    </w:p>
    <w:p w:rsidR="00815E9A" w:rsidRDefault="00815E9A" w:rsidP="00714398">
      <w:pPr>
        <w:pStyle w:val="a5"/>
        <w:numPr>
          <w:ilvl w:val="0"/>
          <w:numId w:val="4"/>
        </w:numPr>
        <w:ind w:left="993"/>
        <w:jc w:val="both"/>
        <w:rPr>
          <w:rFonts w:ascii="Times New Roman" w:hAnsi="Times New Roman" w:cs="Times New Roman"/>
          <w:b/>
          <w:bCs/>
          <w:color w:val="C0504D"/>
          <w:sz w:val="24"/>
          <w:szCs w:val="24"/>
        </w:rPr>
      </w:pPr>
      <w:r w:rsidRPr="00714398">
        <w:rPr>
          <w:rFonts w:ascii="Times New Roman" w:hAnsi="Times New Roman" w:cs="Times New Roman"/>
          <w:b/>
          <w:bCs/>
          <w:color w:val="C0504D"/>
          <w:sz w:val="24"/>
          <w:szCs w:val="24"/>
        </w:rPr>
        <w:t>Έρευνα, Ανάπτυξη και Ευρωπαϊκά Προγράμματα</w:t>
      </w:r>
      <w:r>
        <w:rPr>
          <w:rFonts w:ascii="Times New Roman" w:hAnsi="Times New Roman" w:cs="Times New Roman"/>
          <w:b/>
          <w:bCs/>
          <w:color w:val="C0504D"/>
          <w:sz w:val="24"/>
          <w:szCs w:val="24"/>
        </w:rPr>
        <w:t>.</w:t>
      </w:r>
    </w:p>
    <w:p w:rsidR="00815E9A" w:rsidRPr="00582F21" w:rsidRDefault="00815E9A" w:rsidP="00BF01FC">
      <w:pPr>
        <w:ind w:firstLine="633"/>
        <w:jc w:val="both"/>
        <w:rPr>
          <w:rFonts w:ascii="Times New Roman" w:hAnsi="Times New Roman" w:cs="Times New Roman"/>
          <w:b/>
          <w:bCs/>
          <w:sz w:val="24"/>
          <w:szCs w:val="24"/>
        </w:rPr>
      </w:pPr>
      <w:r>
        <w:rPr>
          <w:rFonts w:ascii="Times New Roman" w:hAnsi="Times New Roman" w:cs="Times New Roman"/>
          <w:b/>
          <w:bCs/>
          <w:sz w:val="24"/>
          <w:szCs w:val="24"/>
        </w:rPr>
        <w:t xml:space="preserve"> Συνεχίσαμε την ενεργό συμμετοχή μας στα προγράμματα </w:t>
      </w:r>
      <w:r>
        <w:rPr>
          <w:rFonts w:ascii="Times New Roman" w:hAnsi="Times New Roman" w:cs="Times New Roman"/>
          <w:b/>
          <w:bCs/>
          <w:sz w:val="24"/>
          <w:szCs w:val="24"/>
          <w:lang w:val="en-US"/>
        </w:rPr>
        <w:t>Eduglocal</w:t>
      </w:r>
      <w:r w:rsidRPr="00AC54B4">
        <w:rPr>
          <w:rFonts w:ascii="Times New Roman" w:hAnsi="Times New Roman" w:cs="Times New Roman"/>
          <w:b/>
          <w:bCs/>
          <w:sz w:val="24"/>
          <w:szCs w:val="24"/>
        </w:rPr>
        <w:t xml:space="preserve"> </w:t>
      </w:r>
      <w:r>
        <w:rPr>
          <w:rFonts w:ascii="Times New Roman" w:hAnsi="Times New Roman" w:cs="Times New Roman"/>
          <w:b/>
          <w:bCs/>
          <w:sz w:val="24"/>
          <w:szCs w:val="24"/>
        </w:rPr>
        <w:t xml:space="preserve">και </w:t>
      </w:r>
      <w:r>
        <w:rPr>
          <w:rFonts w:ascii="Times New Roman" w:hAnsi="Times New Roman" w:cs="Times New Roman"/>
          <w:b/>
          <w:bCs/>
          <w:sz w:val="24"/>
          <w:szCs w:val="24"/>
          <w:lang w:val="en-US"/>
        </w:rPr>
        <w:t>Euroscola</w:t>
      </w:r>
      <w:r>
        <w:rPr>
          <w:rFonts w:ascii="Times New Roman" w:hAnsi="Times New Roman" w:cs="Times New Roman"/>
          <w:b/>
          <w:bCs/>
          <w:sz w:val="24"/>
          <w:szCs w:val="24"/>
        </w:rPr>
        <w:t xml:space="preserve">. Συγκεκριμένα: </w:t>
      </w:r>
    </w:p>
    <w:p w:rsidR="00815E9A" w:rsidRDefault="00815E9A" w:rsidP="00BF01FC">
      <w:pPr>
        <w:ind w:firstLine="633"/>
        <w:jc w:val="both"/>
        <w:rPr>
          <w:rFonts w:ascii="Times New Roman" w:hAnsi="Times New Roman" w:cs="Times New Roman"/>
          <w:b/>
          <w:bCs/>
          <w:sz w:val="24"/>
          <w:szCs w:val="24"/>
        </w:rPr>
      </w:pPr>
      <w:r>
        <w:rPr>
          <w:rFonts w:ascii="Times New Roman" w:hAnsi="Times New Roman" w:cs="Times New Roman"/>
          <w:b/>
          <w:bCs/>
          <w:sz w:val="24"/>
          <w:szCs w:val="24"/>
          <w:lang w:val="en-US"/>
        </w:rPr>
        <w:t>A</w:t>
      </w:r>
      <w:r w:rsidRPr="002E53B3">
        <w:rPr>
          <w:rFonts w:ascii="Times New Roman" w:hAnsi="Times New Roman" w:cs="Times New Roman"/>
          <w:b/>
          <w:bCs/>
          <w:sz w:val="24"/>
          <w:szCs w:val="24"/>
        </w:rPr>
        <w:t xml:space="preserve">. </w:t>
      </w:r>
      <w:r>
        <w:rPr>
          <w:rFonts w:ascii="Times New Roman" w:hAnsi="Times New Roman" w:cs="Times New Roman"/>
          <w:b/>
          <w:bCs/>
          <w:sz w:val="24"/>
          <w:szCs w:val="24"/>
        </w:rPr>
        <w:t>Το EDUGLOCAL είναι</w:t>
      </w:r>
      <w:r w:rsidRPr="00CD563E">
        <w:rPr>
          <w:rFonts w:ascii="Times New Roman" w:hAnsi="Times New Roman" w:cs="Times New Roman"/>
          <w:b/>
          <w:bCs/>
          <w:sz w:val="24"/>
          <w:szCs w:val="24"/>
        </w:rPr>
        <w:t xml:space="preserve"> έργο που έχει εγκριθεί από την Ευρωπαϊκή Επιτροπή EACEA (Εκπαίδευσης, Οπτικοακουστικών Θεμάτων και Πολιτισμού), στο πλαίσιο του προγράμματος «Δια Βίου Μάθηση - Comenius Πολυμερή σχέδια» (project n. 539887-LLP-1-2013-1-IT-COMENIUS-CMP Grant Agreement 2013 – 3078 – 001 / 001). Αποτελεί ένα από τα 34 εγκεκριμένα έργα, μεταξύ 274 σχεδίων που υποβλήθηκαν προς μελέτη και αυστηρή επιλογή προκειμένου να λάβει κοινοτική επιχορήγηση, ενώ -βάσει της αρχικής αίτησης- ως περίοδος υλοποίησης ορίστηκε η 1η Νοεμβρίου 2013 έως 31η Οκτωβρίου 2015 (διετές).</w:t>
      </w:r>
    </w:p>
    <w:p w:rsidR="00815E9A" w:rsidRPr="00BF01FC" w:rsidRDefault="00815E9A" w:rsidP="00BF01FC">
      <w:pPr>
        <w:ind w:firstLine="633"/>
        <w:jc w:val="both"/>
        <w:rPr>
          <w:rFonts w:ascii="Times New Roman" w:hAnsi="Times New Roman" w:cs="Times New Roman"/>
          <w:b/>
          <w:bCs/>
          <w:sz w:val="24"/>
          <w:szCs w:val="24"/>
        </w:rPr>
      </w:pPr>
      <w:r>
        <w:rPr>
          <w:rFonts w:ascii="Times New Roman" w:hAnsi="Times New Roman" w:cs="Times New Roman"/>
          <w:b/>
          <w:bCs/>
          <w:sz w:val="24"/>
          <w:szCs w:val="24"/>
        </w:rPr>
        <w:t>Από την έναρξη του προγράμματος μέχρι σήμερα έχουν πραγματοποιηθεί τρεις συναντήσεις ως εξής:</w:t>
      </w:r>
    </w:p>
    <w:p w:rsidR="00815E9A" w:rsidRPr="00BF01FC" w:rsidRDefault="00815E9A" w:rsidP="00BF01FC">
      <w:pPr>
        <w:ind w:firstLine="633"/>
        <w:jc w:val="both"/>
        <w:rPr>
          <w:rFonts w:ascii="Times New Roman" w:hAnsi="Times New Roman" w:cs="Times New Roman"/>
          <w:b/>
          <w:bCs/>
          <w:sz w:val="24"/>
          <w:szCs w:val="24"/>
        </w:rPr>
      </w:pPr>
      <w:r w:rsidRPr="00582F21">
        <w:rPr>
          <w:rFonts w:ascii="Times New Roman" w:hAnsi="Times New Roman" w:cs="Times New Roman"/>
          <w:b/>
          <w:bCs/>
          <w:sz w:val="24"/>
          <w:szCs w:val="24"/>
        </w:rPr>
        <w:t>1</w:t>
      </w:r>
      <w:r>
        <w:rPr>
          <w:rFonts w:ascii="Times New Roman" w:hAnsi="Times New Roman" w:cs="Times New Roman"/>
          <w:b/>
          <w:bCs/>
          <w:sz w:val="24"/>
          <w:szCs w:val="24"/>
        </w:rPr>
        <w:t>)</w:t>
      </w:r>
      <w:r>
        <w:rPr>
          <w:rFonts w:ascii="Times New Roman" w:hAnsi="Times New Roman" w:cs="Times New Roman"/>
          <w:b/>
          <w:bCs/>
          <w:sz w:val="24"/>
          <w:szCs w:val="24"/>
        </w:rPr>
        <w:tab/>
        <w:t>Ιανουάριος 2014 Βερόνα, Ιταλία.</w:t>
      </w:r>
    </w:p>
    <w:p w:rsidR="00815E9A" w:rsidRPr="00BF01FC" w:rsidRDefault="00815E9A" w:rsidP="00BF01FC">
      <w:pPr>
        <w:ind w:firstLine="633"/>
        <w:jc w:val="both"/>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ab/>
        <w:t>Μάιος 2014 Λέσβος, Ελλάδα</w:t>
      </w:r>
    </w:p>
    <w:p w:rsidR="00815E9A" w:rsidRDefault="00815E9A" w:rsidP="00BF01FC">
      <w:pPr>
        <w:ind w:firstLine="633"/>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Pr>
          <w:rFonts w:ascii="Times New Roman" w:hAnsi="Times New Roman" w:cs="Times New Roman"/>
          <w:b/>
          <w:bCs/>
          <w:sz w:val="24"/>
          <w:szCs w:val="24"/>
        </w:rPr>
        <w:tab/>
        <w:t>Οκτώβριος 2014 Άβιλα, Ισπανία</w:t>
      </w:r>
    </w:p>
    <w:p w:rsidR="00815E9A" w:rsidRDefault="00815E9A" w:rsidP="00BB36B1">
      <w:pPr>
        <w:ind w:firstLine="633"/>
        <w:jc w:val="both"/>
        <w:rPr>
          <w:rFonts w:ascii="Times New Roman" w:hAnsi="Times New Roman" w:cs="Times New Roman"/>
          <w:b/>
          <w:bCs/>
          <w:sz w:val="24"/>
          <w:szCs w:val="24"/>
        </w:rPr>
      </w:pPr>
      <w:r>
        <w:rPr>
          <w:rFonts w:ascii="Times New Roman" w:hAnsi="Times New Roman" w:cs="Times New Roman"/>
          <w:b/>
          <w:bCs/>
          <w:sz w:val="24"/>
          <w:szCs w:val="24"/>
          <w:lang w:val="en-US"/>
        </w:rPr>
        <w:t>B</w:t>
      </w:r>
      <w:r w:rsidRPr="002E53B3">
        <w:rPr>
          <w:rFonts w:ascii="Times New Roman" w:hAnsi="Times New Roman" w:cs="Times New Roman"/>
          <w:b/>
          <w:bCs/>
          <w:sz w:val="24"/>
          <w:szCs w:val="24"/>
        </w:rPr>
        <w:t xml:space="preserve">. </w:t>
      </w:r>
      <w:r>
        <w:rPr>
          <w:rFonts w:ascii="Times New Roman" w:hAnsi="Times New Roman" w:cs="Times New Roman"/>
          <w:b/>
          <w:bCs/>
          <w:sz w:val="24"/>
          <w:szCs w:val="24"/>
        </w:rPr>
        <w:t xml:space="preserve">Συμμετέχοντας στο ευρωπαϊκό πρόγραμμα </w:t>
      </w:r>
      <w:r>
        <w:rPr>
          <w:rFonts w:ascii="Times New Roman" w:hAnsi="Times New Roman" w:cs="Times New Roman"/>
          <w:b/>
          <w:bCs/>
          <w:sz w:val="24"/>
          <w:szCs w:val="24"/>
          <w:lang w:val="en-US"/>
        </w:rPr>
        <w:t>Euroscola</w:t>
      </w:r>
      <w:r w:rsidRPr="00102636">
        <w:rPr>
          <w:rFonts w:ascii="Times New Roman" w:hAnsi="Times New Roman" w:cs="Times New Roman"/>
          <w:b/>
          <w:bCs/>
          <w:sz w:val="24"/>
          <w:szCs w:val="24"/>
        </w:rPr>
        <w:t xml:space="preserve">, </w:t>
      </w:r>
      <w:r>
        <w:rPr>
          <w:rFonts w:ascii="Times New Roman" w:hAnsi="Times New Roman" w:cs="Times New Roman"/>
          <w:b/>
          <w:bCs/>
          <w:sz w:val="24"/>
          <w:szCs w:val="24"/>
        </w:rPr>
        <w:t xml:space="preserve">η </w:t>
      </w:r>
      <w:r w:rsidRPr="002E53B3">
        <w:rPr>
          <w:rFonts w:ascii="Times New Roman" w:hAnsi="Times New Roman" w:cs="Times New Roman"/>
          <w:b/>
          <w:bCs/>
          <w:sz w:val="24"/>
          <w:szCs w:val="24"/>
        </w:rPr>
        <w:t xml:space="preserve">Περιφερειακή Διεύθυνση Εκπαίδευσης Βορείου </w:t>
      </w:r>
      <w:r>
        <w:rPr>
          <w:rFonts w:ascii="Times New Roman" w:hAnsi="Times New Roman" w:cs="Times New Roman"/>
          <w:b/>
          <w:bCs/>
          <w:sz w:val="24"/>
          <w:szCs w:val="24"/>
        </w:rPr>
        <w:t>Αιγαίου εκπροσωπείται</w:t>
      </w:r>
      <w:r w:rsidRPr="002E53B3">
        <w:rPr>
          <w:rFonts w:ascii="Times New Roman" w:hAnsi="Times New Roman" w:cs="Times New Roman"/>
          <w:b/>
          <w:bCs/>
          <w:sz w:val="24"/>
          <w:szCs w:val="24"/>
        </w:rPr>
        <w:t xml:space="preserve"> κάθε φορά από είκοσι τέσσερις (24) μαθητές και δύο (02) συνοδούς καθηγητές, από τις Διευθύνσεις Δ/θμιας Εκπαίδευσης Λέσβου, Σάμου και Χίου.</w:t>
      </w:r>
      <w:r>
        <w:rPr>
          <w:rFonts w:ascii="Times New Roman" w:hAnsi="Times New Roman" w:cs="Times New Roman"/>
          <w:b/>
          <w:bCs/>
          <w:sz w:val="24"/>
          <w:szCs w:val="24"/>
        </w:rPr>
        <w:t xml:space="preserve"> Από την έναρξη συμμετοχής στο πρόγραμμα τα σχολεία που ανήκουν στην ΠΔΕ Βορείου Αιγαίου ανελλιπώς πήραν μέρος ως εξής: κατά τα </w:t>
      </w:r>
      <w:r w:rsidRPr="00BB36B1">
        <w:rPr>
          <w:rFonts w:ascii="Times New Roman" w:hAnsi="Times New Roman" w:cs="Times New Roman"/>
          <w:b/>
          <w:bCs/>
          <w:sz w:val="24"/>
          <w:szCs w:val="24"/>
        </w:rPr>
        <w:t xml:space="preserve"> σχολικά έτη 2011-12 (1 φορά), 2012-13 (1 φορά), 2013-14 (2 φορές), 2014-15 (2 φορές)</w:t>
      </w:r>
      <w:r>
        <w:rPr>
          <w:rFonts w:ascii="Times New Roman" w:hAnsi="Times New Roman" w:cs="Times New Roman"/>
          <w:b/>
          <w:bCs/>
          <w:sz w:val="24"/>
          <w:szCs w:val="24"/>
        </w:rPr>
        <w:t>.</w:t>
      </w:r>
    </w:p>
    <w:p w:rsidR="00815E9A" w:rsidRDefault="00815E9A" w:rsidP="00BB36B1">
      <w:pPr>
        <w:ind w:firstLine="633"/>
        <w:jc w:val="both"/>
        <w:rPr>
          <w:rFonts w:ascii="Times New Roman" w:hAnsi="Times New Roman" w:cs="Times New Roman"/>
          <w:b/>
          <w:bCs/>
          <w:sz w:val="24"/>
          <w:szCs w:val="24"/>
        </w:rPr>
      </w:pPr>
    </w:p>
    <w:p w:rsidR="00815E9A" w:rsidRDefault="00815E9A" w:rsidP="00414E78">
      <w:pPr>
        <w:pStyle w:val="a5"/>
        <w:numPr>
          <w:ilvl w:val="0"/>
          <w:numId w:val="4"/>
        </w:numPr>
        <w:ind w:left="993"/>
        <w:jc w:val="both"/>
        <w:rPr>
          <w:rFonts w:ascii="Times New Roman" w:hAnsi="Times New Roman" w:cs="Times New Roman"/>
          <w:b/>
          <w:bCs/>
          <w:color w:val="C0504D"/>
          <w:sz w:val="24"/>
          <w:szCs w:val="24"/>
        </w:rPr>
      </w:pPr>
      <w:r w:rsidRPr="00414E78">
        <w:rPr>
          <w:rFonts w:ascii="Times New Roman" w:hAnsi="Times New Roman" w:cs="Times New Roman"/>
          <w:b/>
          <w:bCs/>
          <w:color w:val="C0504D"/>
          <w:sz w:val="24"/>
          <w:szCs w:val="24"/>
        </w:rPr>
        <w:t>Αποτελεσματική Διακυβέρνηση</w:t>
      </w:r>
      <w:r>
        <w:rPr>
          <w:rFonts w:ascii="Times New Roman" w:hAnsi="Times New Roman" w:cs="Times New Roman"/>
          <w:b/>
          <w:bCs/>
          <w:color w:val="C0504D"/>
          <w:sz w:val="24"/>
          <w:szCs w:val="24"/>
        </w:rPr>
        <w:t>.</w:t>
      </w:r>
    </w:p>
    <w:p w:rsidR="00815E9A" w:rsidRDefault="00815E9A" w:rsidP="00243B3E">
      <w:pPr>
        <w:ind w:firstLine="633"/>
        <w:jc w:val="both"/>
        <w:rPr>
          <w:rFonts w:ascii="Times New Roman" w:hAnsi="Times New Roman" w:cs="Times New Roman"/>
          <w:b/>
          <w:bCs/>
          <w:sz w:val="24"/>
          <w:szCs w:val="24"/>
        </w:rPr>
      </w:pPr>
      <w:r w:rsidRPr="00243B3E">
        <w:rPr>
          <w:rFonts w:ascii="Times New Roman" w:hAnsi="Times New Roman" w:cs="Times New Roman"/>
          <w:b/>
          <w:bCs/>
          <w:sz w:val="24"/>
          <w:szCs w:val="24"/>
        </w:rPr>
        <w:t xml:space="preserve">Η προγραμματισμένη θεσμοθέτηση, </w:t>
      </w:r>
      <w:r>
        <w:rPr>
          <w:rFonts w:ascii="Times New Roman" w:hAnsi="Times New Roman" w:cs="Times New Roman"/>
          <w:b/>
          <w:bCs/>
          <w:sz w:val="24"/>
          <w:szCs w:val="24"/>
        </w:rPr>
        <w:t>υποστήριξη και λειτουργία αυτόν</w:t>
      </w:r>
      <w:r w:rsidRPr="00243B3E">
        <w:rPr>
          <w:rFonts w:ascii="Times New Roman" w:hAnsi="Times New Roman" w:cs="Times New Roman"/>
          <w:b/>
          <w:bCs/>
          <w:sz w:val="24"/>
          <w:szCs w:val="24"/>
        </w:rPr>
        <w:t xml:space="preserve">ομου συστήματος εξ αποστάσεως επικοινωνίας </w:t>
      </w:r>
      <w:r>
        <w:rPr>
          <w:rFonts w:ascii="Times New Roman" w:hAnsi="Times New Roman" w:cs="Times New Roman"/>
          <w:b/>
          <w:bCs/>
          <w:sz w:val="24"/>
          <w:szCs w:val="24"/>
        </w:rPr>
        <w:t xml:space="preserve">προσκρούει στην υποχρέωση ύπαρξης ιδιαίτερου ιδιοκτησιακού καθεστώτος. Για την εγκατάσταση συστήματος προϋποτίθεται ιδιόκτητο κτήριο και ως εκ τούτου είναι αδύνατη προς το παρόν η λειτουργία του. Λαμβάνοντας υπόψη τα ιδιαίτερα χαρακτηριστικά της νησιωτικής περιοχής πραγματοποιούμε τηλεδιασκέψεις με τους φορείς που υπάγονται στην ΠΔΕ αξιοποιώντας διαδικτυακή σύνδεση και εξοπλισμό για το σκοπό αυτό. </w:t>
      </w:r>
    </w:p>
    <w:p w:rsidR="00815E9A" w:rsidRDefault="00815E9A" w:rsidP="00243B3E">
      <w:pPr>
        <w:ind w:firstLine="633"/>
        <w:jc w:val="both"/>
        <w:rPr>
          <w:rFonts w:ascii="Times New Roman" w:hAnsi="Times New Roman" w:cs="Times New Roman"/>
          <w:b/>
          <w:bCs/>
          <w:sz w:val="24"/>
          <w:szCs w:val="24"/>
        </w:rPr>
      </w:pPr>
      <w:r>
        <w:rPr>
          <w:rFonts w:ascii="Times New Roman" w:hAnsi="Times New Roman" w:cs="Times New Roman"/>
          <w:b/>
          <w:bCs/>
          <w:sz w:val="24"/>
          <w:szCs w:val="24"/>
        </w:rPr>
        <w:t xml:space="preserve">Ο σχεδιασμός του ενημερωτικού δελτίου με τη μορφή διαδικτυακού </w:t>
      </w:r>
      <w:r>
        <w:rPr>
          <w:rFonts w:ascii="Times New Roman" w:hAnsi="Times New Roman" w:cs="Times New Roman"/>
          <w:b/>
          <w:bCs/>
          <w:sz w:val="24"/>
          <w:szCs w:val="24"/>
          <w:lang w:val="en-US"/>
        </w:rPr>
        <w:t>newsletter</w:t>
      </w:r>
      <w:r>
        <w:rPr>
          <w:rFonts w:ascii="Times New Roman" w:hAnsi="Times New Roman" w:cs="Times New Roman"/>
          <w:b/>
          <w:bCs/>
          <w:sz w:val="24"/>
          <w:szCs w:val="24"/>
        </w:rPr>
        <w:t xml:space="preserve"> βρίσκεται σε εξέλιξη και θα ολοκληρωθεί το αμέσως προσεχές διάστημα.</w:t>
      </w:r>
    </w:p>
    <w:p w:rsidR="00815E9A" w:rsidRDefault="00815E9A" w:rsidP="00243B3E">
      <w:pPr>
        <w:ind w:firstLine="633"/>
        <w:jc w:val="both"/>
        <w:rPr>
          <w:rFonts w:ascii="Times New Roman" w:hAnsi="Times New Roman" w:cs="Times New Roman"/>
          <w:b/>
          <w:bCs/>
          <w:sz w:val="24"/>
          <w:szCs w:val="24"/>
        </w:rPr>
      </w:pPr>
      <w:r>
        <w:rPr>
          <w:rFonts w:ascii="Times New Roman" w:hAnsi="Times New Roman" w:cs="Times New Roman"/>
          <w:b/>
          <w:bCs/>
          <w:sz w:val="24"/>
          <w:szCs w:val="24"/>
        </w:rPr>
        <w:t>Οι τρέχουσες εξελίξεις στο σημαντικό θέμα της ενδοσχολικής βίας σε συνδυασμό με την  αδήριτη ανάγκη για αποτελεσματική διαχείριση των κρουσμάτων, μας οδήγησαν  στην σύσταση και λειτουργία της</w:t>
      </w:r>
      <w:r w:rsidRPr="00F176D0">
        <w:rPr>
          <w:rFonts w:ascii="Times New Roman" w:hAnsi="Times New Roman" w:cs="Times New Roman"/>
          <w:b/>
          <w:bCs/>
          <w:sz w:val="24"/>
          <w:szCs w:val="24"/>
        </w:rPr>
        <w:t xml:space="preserve"> Επιτροπή</w:t>
      </w:r>
      <w:r>
        <w:rPr>
          <w:rFonts w:ascii="Times New Roman" w:hAnsi="Times New Roman" w:cs="Times New Roman"/>
          <w:b/>
          <w:bCs/>
          <w:sz w:val="24"/>
          <w:szCs w:val="24"/>
        </w:rPr>
        <w:t>ς</w:t>
      </w:r>
      <w:r w:rsidRPr="00F176D0">
        <w:rPr>
          <w:rFonts w:ascii="Times New Roman" w:hAnsi="Times New Roman" w:cs="Times New Roman"/>
          <w:b/>
          <w:bCs/>
          <w:sz w:val="24"/>
          <w:szCs w:val="24"/>
        </w:rPr>
        <w:t xml:space="preserve"> Συντονιστών Δράσεων Πρόληψης (Ε.ΣΥ.Δ.Π.) της Περ/κής Δ/νσης Π/θμιας &amp; Δ/θμιας Εκπ/σης Βορείου Αιγαίου,</w:t>
      </w:r>
      <w:r>
        <w:rPr>
          <w:rFonts w:ascii="Times New Roman" w:hAnsi="Times New Roman" w:cs="Times New Roman"/>
          <w:b/>
          <w:bCs/>
          <w:sz w:val="24"/>
          <w:szCs w:val="24"/>
        </w:rPr>
        <w:t xml:space="preserve"> καθώς και των ΟΔΠ σε κάθε σχολική μονάδα με στόχο την ουσιαστική αντιμετώπιση των προβλημάτων που ανακύπτουν. Στην παρούσα φάση είμαστε βέβαιοι πως κινούμαστε στη σωστή κατεύθυνση για την πρόληψη φαινομένων βίας, ευαισθητοποίηση όλων των εμπλεκομένων και παροχή αρωγής σε όλους όσοι υφίστανται βία σε όποια μορφή κι αν συμβαίνει αυτό.</w:t>
      </w:r>
    </w:p>
    <w:p w:rsidR="00815E9A" w:rsidRDefault="00815E9A" w:rsidP="00243B3E">
      <w:pPr>
        <w:ind w:firstLine="633"/>
        <w:jc w:val="both"/>
        <w:rPr>
          <w:rFonts w:ascii="Times New Roman" w:hAnsi="Times New Roman" w:cs="Times New Roman"/>
          <w:b/>
          <w:bCs/>
          <w:sz w:val="24"/>
          <w:szCs w:val="24"/>
        </w:rPr>
      </w:pPr>
      <w:r>
        <w:rPr>
          <w:rFonts w:ascii="Times New Roman" w:hAnsi="Times New Roman" w:cs="Times New Roman"/>
          <w:b/>
          <w:bCs/>
          <w:sz w:val="24"/>
          <w:szCs w:val="24"/>
        </w:rPr>
        <w:t xml:space="preserve">Η δημοσιότητα των δράσεων της ΠΔΕ συνιστά ακρογωνιαίο λίθο της εκπαιδευτικής πολιτικής που ακολουθούμε. Στο πλαίσιο αυτό αναμορφώσαμε την ιστοσελίδα της ΠΔΕ δημιουργώντας εξαρχής ένα νέο, ελκυστικό περιβάλλον που ακολουθεί τις διεθνείς προδιαγραφές και κατευθύνσεις ηλεκτρονικής επικοινωνίας. Η ηλεκτρονική διεύθυνση </w:t>
      </w:r>
      <w:hyperlink r:id="rId8" w:history="1">
        <w:r w:rsidR="00DD3B7F" w:rsidRPr="001E048A">
          <w:rPr>
            <w:rStyle w:val="-"/>
            <w:rFonts w:ascii="Times New Roman" w:hAnsi="Times New Roman" w:cs="Times New Roman"/>
            <w:b/>
            <w:bCs/>
            <w:sz w:val="24"/>
            <w:szCs w:val="24"/>
          </w:rPr>
          <w:t>http://vaigaiou.pde.sch.gr/new</w:t>
        </w:r>
        <w:r w:rsidR="00DD3B7F" w:rsidRPr="001E048A">
          <w:rPr>
            <w:rStyle w:val="-"/>
            <w:rFonts w:ascii="Times New Roman" w:hAnsi="Times New Roman" w:cs="Times New Roman"/>
            <w:b/>
            <w:bCs/>
            <w:sz w:val="24"/>
            <w:szCs w:val="24"/>
            <w:lang w:val="en-US"/>
          </w:rPr>
          <w:t>sch</w:t>
        </w:r>
      </w:hyperlink>
      <w:r w:rsidR="00DD3B7F" w:rsidRPr="00DD3B7F">
        <w:rPr>
          <w:rFonts w:ascii="Times New Roman" w:hAnsi="Times New Roman" w:cs="Times New Roman"/>
          <w:b/>
          <w:bCs/>
          <w:sz w:val="24"/>
          <w:szCs w:val="24"/>
        </w:rPr>
        <w:t xml:space="preserve">   </w:t>
      </w:r>
      <w:r>
        <w:rPr>
          <w:rFonts w:ascii="Times New Roman" w:hAnsi="Times New Roman" w:cs="Times New Roman"/>
          <w:b/>
          <w:bCs/>
          <w:sz w:val="24"/>
          <w:szCs w:val="24"/>
        </w:rPr>
        <w:t xml:space="preserve">  παραπέμπει στην νέα ιστοσελίδα της ΠΔΕ που αποτελεί το επικοινωνιακό καύχημα των συντελεστών της.</w:t>
      </w:r>
    </w:p>
    <w:p w:rsidR="00815E9A" w:rsidRDefault="00815E9A" w:rsidP="00243B3E">
      <w:pPr>
        <w:ind w:firstLine="633"/>
        <w:jc w:val="both"/>
        <w:rPr>
          <w:rFonts w:ascii="Times New Roman" w:hAnsi="Times New Roman" w:cs="Times New Roman"/>
          <w:b/>
          <w:bCs/>
          <w:sz w:val="24"/>
          <w:szCs w:val="24"/>
        </w:rPr>
      </w:pPr>
    </w:p>
    <w:p w:rsidR="00815E9A" w:rsidRDefault="00815E9A" w:rsidP="00243B3E">
      <w:pPr>
        <w:ind w:firstLine="633"/>
        <w:jc w:val="both"/>
        <w:rPr>
          <w:rFonts w:ascii="Times New Roman" w:hAnsi="Times New Roman" w:cs="Times New Roman"/>
          <w:b/>
          <w:bCs/>
          <w:sz w:val="24"/>
          <w:szCs w:val="24"/>
        </w:rPr>
      </w:pPr>
    </w:p>
    <w:p w:rsidR="00815E9A" w:rsidRDefault="00815E9A" w:rsidP="00243B3E">
      <w:pPr>
        <w:ind w:firstLine="633"/>
        <w:jc w:val="both"/>
        <w:rPr>
          <w:rFonts w:ascii="Times New Roman" w:hAnsi="Times New Roman" w:cs="Times New Roman"/>
          <w:b/>
          <w:bCs/>
          <w:sz w:val="24"/>
          <w:szCs w:val="24"/>
        </w:rPr>
      </w:pPr>
    </w:p>
    <w:p w:rsidR="00815E9A" w:rsidRDefault="00815E9A" w:rsidP="004602CB">
      <w:pPr>
        <w:pStyle w:val="a5"/>
        <w:numPr>
          <w:ilvl w:val="0"/>
          <w:numId w:val="4"/>
        </w:numPr>
        <w:ind w:left="1134"/>
        <w:jc w:val="both"/>
        <w:rPr>
          <w:rFonts w:ascii="Times New Roman" w:hAnsi="Times New Roman" w:cs="Times New Roman"/>
          <w:b/>
          <w:bCs/>
          <w:color w:val="C0504D"/>
          <w:sz w:val="24"/>
          <w:szCs w:val="24"/>
        </w:rPr>
      </w:pPr>
      <w:r w:rsidRPr="004602CB">
        <w:rPr>
          <w:rFonts w:ascii="Times New Roman" w:hAnsi="Times New Roman" w:cs="Times New Roman"/>
          <w:b/>
          <w:bCs/>
          <w:color w:val="C0504D"/>
          <w:sz w:val="24"/>
          <w:szCs w:val="24"/>
        </w:rPr>
        <w:lastRenderedPageBreak/>
        <w:t>Συνεργασία με Πανεπιστήμια</w:t>
      </w:r>
      <w:r>
        <w:rPr>
          <w:rFonts w:ascii="Times New Roman" w:hAnsi="Times New Roman" w:cs="Times New Roman"/>
          <w:b/>
          <w:bCs/>
          <w:color w:val="C0504D"/>
          <w:sz w:val="24"/>
          <w:szCs w:val="24"/>
        </w:rPr>
        <w:t>.</w:t>
      </w:r>
    </w:p>
    <w:p w:rsidR="00815E9A" w:rsidRDefault="00815E9A" w:rsidP="00315FB1">
      <w:pPr>
        <w:ind w:firstLine="720"/>
        <w:jc w:val="both"/>
        <w:rPr>
          <w:rFonts w:ascii="Times New Roman" w:hAnsi="Times New Roman" w:cs="Times New Roman"/>
          <w:b/>
          <w:bCs/>
          <w:sz w:val="24"/>
          <w:szCs w:val="24"/>
        </w:rPr>
      </w:pPr>
      <w:r>
        <w:rPr>
          <w:rFonts w:ascii="Times New Roman" w:hAnsi="Times New Roman" w:cs="Times New Roman"/>
          <w:b/>
          <w:bCs/>
          <w:sz w:val="24"/>
          <w:szCs w:val="24"/>
        </w:rPr>
        <w:t>Η διαρκής επικοινωνία του γραφείου της ΠΔΕ με το Μουσείο Φυσικής Ιστορίας Απολιθωμένου Δάσους είχε σκοπό την απρόσκοπτη ροή μαθητών και την παρακολούθηση του επιμορφωτικού προγράμματος που υλοποιεί. Αποτελεί ιδιαίτερη τιμή για το Μουσείο και την ΠΔΕ η επίσκεψη</w:t>
      </w:r>
      <w:r w:rsidRPr="00315FB1">
        <w:t xml:space="preserve"> </w:t>
      </w:r>
      <w:r>
        <w:rPr>
          <w:rFonts w:ascii="Times New Roman" w:hAnsi="Times New Roman" w:cs="Times New Roman"/>
          <w:b/>
          <w:bCs/>
          <w:sz w:val="24"/>
          <w:szCs w:val="24"/>
        </w:rPr>
        <w:t>μαθητών</w:t>
      </w:r>
      <w:r w:rsidRPr="00315FB1">
        <w:rPr>
          <w:rFonts w:ascii="Times New Roman" w:hAnsi="Times New Roman" w:cs="Times New Roman"/>
          <w:b/>
          <w:bCs/>
          <w:sz w:val="24"/>
          <w:szCs w:val="24"/>
        </w:rPr>
        <w:t xml:space="preserve"> δευτεροβάθμιας εκπαίδευσης από την Ιαπωνί</w:t>
      </w:r>
      <w:r>
        <w:rPr>
          <w:rFonts w:ascii="Times New Roman" w:hAnsi="Times New Roman" w:cs="Times New Roman"/>
          <w:b/>
          <w:bCs/>
          <w:sz w:val="24"/>
          <w:szCs w:val="24"/>
        </w:rPr>
        <w:t>α και το Γεωπάρκο Σανίν Καϊγκάν. Συγκεκριμένα,  πραγματοποίησαν</w:t>
      </w:r>
      <w:r w:rsidRPr="00315FB1">
        <w:rPr>
          <w:rFonts w:ascii="Times New Roman" w:hAnsi="Times New Roman" w:cs="Times New Roman"/>
          <w:b/>
          <w:bCs/>
          <w:sz w:val="24"/>
          <w:szCs w:val="24"/>
        </w:rPr>
        <w:t xml:space="preserve"> εκπαιδευτική επίσκεψη στο Γεωπάρκο Λέσβου κα</w:t>
      </w:r>
      <w:r>
        <w:rPr>
          <w:rFonts w:ascii="Times New Roman" w:hAnsi="Times New Roman" w:cs="Times New Roman"/>
          <w:b/>
          <w:bCs/>
          <w:sz w:val="24"/>
          <w:szCs w:val="24"/>
        </w:rPr>
        <w:t xml:space="preserve">ι το Απολιθωμένο Δάσος από </w:t>
      </w:r>
      <w:r w:rsidRPr="00315FB1">
        <w:rPr>
          <w:rFonts w:ascii="Times New Roman" w:hAnsi="Times New Roman" w:cs="Times New Roman"/>
          <w:b/>
          <w:bCs/>
          <w:sz w:val="24"/>
          <w:szCs w:val="24"/>
        </w:rPr>
        <w:t xml:space="preserve"> 18 έως 21 Ιουλίου</w:t>
      </w:r>
      <w:r>
        <w:rPr>
          <w:rFonts w:ascii="Times New Roman" w:hAnsi="Times New Roman" w:cs="Times New Roman"/>
          <w:b/>
          <w:bCs/>
          <w:sz w:val="24"/>
          <w:szCs w:val="24"/>
        </w:rPr>
        <w:t xml:space="preserve"> 2014</w:t>
      </w:r>
      <w:r w:rsidRPr="00315FB1">
        <w:rPr>
          <w:rFonts w:ascii="Times New Roman" w:hAnsi="Times New Roman" w:cs="Times New Roman"/>
          <w:b/>
          <w:bCs/>
          <w:sz w:val="24"/>
          <w:szCs w:val="24"/>
        </w:rPr>
        <w:t>, στο πλαίσιο συν</w:t>
      </w:r>
      <w:r>
        <w:rPr>
          <w:rFonts w:ascii="Times New Roman" w:hAnsi="Times New Roman" w:cs="Times New Roman"/>
          <w:b/>
          <w:bCs/>
          <w:sz w:val="24"/>
          <w:szCs w:val="24"/>
        </w:rPr>
        <w:t xml:space="preserve">εργασίας με το Γεωπάρκο Λέσβου. </w:t>
      </w:r>
      <w:r w:rsidRPr="00315FB1">
        <w:rPr>
          <w:rFonts w:ascii="Times New Roman" w:hAnsi="Times New Roman" w:cs="Times New Roman"/>
          <w:b/>
          <w:bCs/>
          <w:sz w:val="24"/>
          <w:szCs w:val="24"/>
        </w:rPr>
        <w:t>Πρόκειται για 20 μαθητές του σχολείου Τογιοόκα της Ιαπωνίας, που βρίσκεται στο Παγκόσμιο Γεωπάρκο Σανίν Κα</w:t>
      </w:r>
      <w:r>
        <w:rPr>
          <w:rFonts w:ascii="Times New Roman" w:hAnsi="Times New Roman" w:cs="Times New Roman"/>
          <w:b/>
          <w:bCs/>
          <w:sz w:val="24"/>
          <w:szCs w:val="24"/>
        </w:rPr>
        <w:t>ϊγκάν, οι οποίοι συνοδεύονταν</w:t>
      </w:r>
      <w:r w:rsidRPr="00315FB1">
        <w:rPr>
          <w:rFonts w:ascii="Times New Roman" w:hAnsi="Times New Roman" w:cs="Times New Roman"/>
          <w:b/>
          <w:bCs/>
          <w:sz w:val="24"/>
          <w:szCs w:val="24"/>
        </w:rPr>
        <w:t xml:space="preserve"> από τον υποδιευθυντή του σχολείου κ. Γιαμαμότο, τον υπεύθυνο εκπαιδευτικό σε θέματα φυσικών επιστημών κ. Μικί, καθώς και τον καθηγητή Νοριτάκα Ματσουμπάρα του Πανεπιστημίου Χιόγκο της Ιαπωνίας και στέλεχος του Γεωπάρκου Σανίν Καϊγκάν της Ιαπωνίας.</w:t>
      </w:r>
    </w:p>
    <w:p w:rsidR="00815E9A" w:rsidRDefault="00815E9A" w:rsidP="00BD6257">
      <w:pPr>
        <w:ind w:firstLine="720"/>
        <w:jc w:val="both"/>
        <w:rPr>
          <w:rFonts w:ascii="Times New Roman" w:hAnsi="Times New Roman" w:cs="Times New Roman"/>
          <w:b/>
          <w:bCs/>
          <w:sz w:val="24"/>
          <w:szCs w:val="24"/>
        </w:rPr>
      </w:pPr>
      <w:r>
        <w:rPr>
          <w:rFonts w:ascii="Times New Roman" w:hAnsi="Times New Roman" w:cs="Times New Roman"/>
          <w:b/>
          <w:bCs/>
          <w:sz w:val="24"/>
          <w:szCs w:val="24"/>
        </w:rPr>
        <w:t>Η θεσμοθέτηση ημέρας σταδιοδρομίας αποτελεί κύριο στόχο του σχεδιασμού της ΠΔΕ για την πρόσβαση στην τριτοβάθμια εκπαίδευση. Έχουν δρομολογηθεί δράσεις ενημέρωσης από το Πανεπιστήμιο Αιγαίου που επικεντρώνονται στην επαγγελματική αποκατάσταση και σταδιοδρομία των μαθητών και θα συνεχισθούν και θα ενταθούν στο αμέσως επόμενο διάστημα όσο πλησιάζουμε προς τις Πανελλαδικές εξετάσεις.</w:t>
      </w:r>
    </w:p>
    <w:p w:rsidR="00815E9A" w:rsidRDefault="00815E9A" w:rsidP="00B451A1">
      <w:pPr>
        <w:ind w:firstLine="720"/>
        <w:jc w:val="both"/>
        <w:rPr>
          <w:rFonts w:ascii="Times New Roman" w:hAnsi="Times New Roman" w:cs="Times New Roman"/>
          <w:b/>
          <w:bCs/>
          <w:sz w:val="24"/>
          <w:szCs w:val="24"/>
        </w:rPr>
      </w:pPr>
      <w:r>
        <w:rPr>
          <w:rFonts w:ascii="Times New Roman" w:hAnsi="Times New Roman" w:cs="Times New Roman"/>
          <w:b/>
          <w:bCs/>
          <w:sz w:val="24"/>
          <w:szCs w:val="24"/>
        </w:rPr>
        <w:t>Η Ανώτατη Σχολή Παιδαγωγικής και Τεχνολογικής Εκπαίδευσης (ΑΣΠΑΙΤΕ) σε συνεργασία με την ΠΔΕ Βορείου Αιγαίου πραγματοποίησε ημερίδα στις 7 Μαρτίου 2015 στη Μυτιλήνη με θέμα: «ΕΦΗΒΕΙΑ: Συμβουλευτική</w:t>
      </w:r>
      <w:r w:rsidRPr="00B451A1">
        <w:rPr>
          <w:rFonts w:ascii="Times New Roman" w:hAnsi="Times New Roman" w:cs="Times New Roman"/>
          <w:b/>
          <w:bCs/>
          <w:sz w:val="24"/>
          <w:szCs w:val="24"/>
        </w:rPr>
        <w:t>, Ψυχο-Κοινωνιολογική και Παιδαγωγική Προσέγγιση</w:t>
      </w:r>
      <w:r>
        <w:rPr>
          <w:rFonts w:ascii="Times New Roman" w:hAnsi="Times New Roman" w:cs="Times New Roman"/>
          <w:b/>
          <w:bCs/>
          <w:sz w:val="24"/>
          <w:szCs w:val="24"/>
        </w:rPr>
        <w:t>». Στην ημερίδα έλαβαν μέρος με εισηγήσεις στελέχη της Σχολής, καθώς και διδάσκοντες που προέρχονται από τις δομές της ΠΔΕ, όπως σχολικοί Σύμβουλοι, Διευθυντές σχολικών μονάδων και εκπαιδευτικοί με αυξημένα προσόντα.</w:t>
      </w:r>
      <w:bookmarkStart w:id="1" w:name="_PictureBullets"/>
    </w:p>
    <w:p w:rsidR="00815E9A" w:rsidRDefault="00815E9A" w:rsidP="00742DE0">
      <w:pPr>
        <w:tabs>
          <w:tab w:val="center" w:pos="7938"/>
        </w:tabs>
        <w:jc w:val="center"/>
        <w:rPr>
          <w:rFonts w:ascii="Times New Roman" w:hAnsi="Times New Roman" w:cs="Times New Roman"/>
          <w:b/>
          <w:bCs/>
        </w:rPr>
      </w:pPr>
    </w:p>
    <w:p w:rsidR="00815E9A" w:rsidRPr="005F5D75" w:rsidRDefault="00815E9A" w:rsidP="005F5D75">
      <w:pPr>
        <w:tabs>
          <w:tab w:val="center" w:pos="7938"/>
        </w:tabs>
        <w:jc w:val="center"/>
        <w:rPr>
          <w:rFonts w:ascii="Times New Roman" w:hAnsi="Times New Roman" w:cs="Times New Roman"/>
          <w:b/>
          <w:bCs/>
        </w:rPr>
      </w:pPr>
      <w:r w:rsidRPr="005F5D75">
        <w:rPr>
          <w:rFonts w:ascii="Times New Roman" w:hAnsi="Times New Roman" w:cs="Times New Roman"/>
          <w:b/>
          <w:bCs/>
        </w:rPr>
        <w:t>Μυτιλήνη, 15 Απριλίου 2015</w:t>
      </w:r>
    </w:p>
    <w:p w:rsidR="00815E9A" w:rsidRPr="007F79F3" w:rsidRDefault="00815E9A" w:rsidP="00742DE0">
      <w:pPr>
        <w:tabs>
          <w:tab w:val="center" w:pos="7938"/>
        </w:tabs>
        <w:jc w:val="center"/>
        <w:rPr>
          <w:rFonts w:ascii="Times New Roman" w:hAnsi="Times New Roman" w:cs="Times New Roman"/>
          <w:b/>
          <w:bCs/>
        </w:rPr>
      </w:pPr>
      <w:r w:rsidRPr="007F79F3">
        <w:rPr>
          <w:rFonts w:ascii="Times New Roman" w:hAnsi="Times New Roman" w:cs="Times New Roman"/>
          <w:b/>
          <w:bCs/>
        </w:rPr>
        <w:t>Η ΠΕΡΙΦΕΡΕΙΑΚΗ Δ/ΝΤΡΙΑ</w:t>
      </w:r>
    </w:p>
    <w:p w:rsidR="00815E9A" w:rsidRPr="007F79F3" w:rsidRDefault="00815E9A" w:rsidP="00742DE0">
      <w:pPr>
        <w:tabs>
          <w:tab w:val="center" w:pos="7938"/>
        </w:tabs>
        <w:jc w:val="center"/>
        <w:rPr>
          <w:rFonts w:ascii="Times New Roman" w:hAnsi="Times New Roman" w:cs="Times New Roman"/>
        </w:rPr>
      </w:pPr>
      <w:r w:rsidRPr="007F79F3">
        <w:rPr>
          <w:rFonts w:ascii="Times New Roman" w:hAnsi="Times New Roman" w:cs="Times New Roman"/>
          <w:b/>
          <w:bCs/>
        </w:rPr>
        <w:t>Π. &amp; Δ. ΕΚΠ/ΣΗΣ ΒΟΡΕΙΟΥ ΑΙΓΑΙΟΥ</w:t>
      </w:r>
    </w:p>
    <w:p w:rsidR="00815E9A" w:rsidRPr="007F79F3" w:rsidRDefault="00815E9A" w:rsidP="00742DE0">
      <w:pPr>
        <w:tabs>
          <w:tab w:val="left" w:pos="7605"/>
        </w:tabs>
        <w:rPr>
          <w:rFonts w:ascii="Times New Roman" w:hAnsi="Times New Roman" w:cs="Times New Roman"/>
        </w:rPr>
      </w:pPr>
    </w:p>
    <w:p w:rsidR="00815E9A" w:rsidRPr="007F79F3" w:rsidRDefault="00815E9A" w:rsidP="00742DE0">
      <w:pPr>
        <w:jc w:val="center"/>
        <w:rPr>
          <w:rFonts w:ascii="Times New Roman" w:hAnsi="Times New Roman" w:cs="Times New Roman"/>
        </w:rPr>
      </w:pPr>
    </w:p>
    <w:p w:rsidR="00815E9A" w:rsidRPr="007F79F3" w:rsidRDefault="00815E9A" w:rsidP="00742DE0">
      <w:pPr>
        <w:tabs>
          <w:tab w:val="center" w:pos="7938"/>
        </w:tabs>
        <w:jc w:val="center"/>
        <w:rPr>
          <w:rFonts w:ascii="Times New Roman" w:hAnsi="Times New Roman" w:cs="Times New Roman"/>
          <w:b/>
          <w:bCs/>
        </w:rPr>
      </w:pPr>
      <w:r w:rsidRPr="007F79F3">
        <w:rPr>
          <w:rFonts w:ascii="Times New Roman" w:hAnsi="Times New Roman" w:cs="Times New Roman"/>
          <w:b/>
          <w:bCs/>
        </w:rPr>
        <w:t>ΜΑΡΙΑ Χ. ΠΑΠΑΔΑΝΙΗΛ</w:t>
      </w:r>
    </w:p>
    <w:p w:rsidR="00815E9A" w:rsidRPr="007F79F3" w:rsidRDefault="00DD3B7F" w:rsidP="00742DE0">
      <w:pPr>
        <w:ind w:firstLine="720"/>
        <w:jc w:val="right"/>
        <w:rPr>
          <w:rFonts w:ascii="Times New Roman" w:hAnsi="Times New Roman" w:cs="Times New Roman"/>
          <w:b/>
          <w:bCs/>
          <w:sz w:val="24"/>
          <w:szCs w:val="24"/>
        </w:rPr>
      </w:pPr>
      <w:r w:rsidRPr="003918C3">
        <w:rPr>
          <w:rFonts w:ascii="Times New Roman" w:hAnsi="Times New Roman" w:cs="Times New Roman"/>
          <w:vanish/>
          <w:sz w:val="24"/>
          <w:szCs w:val="24"/>
          <w:lang w:eastAsia="el-GR"/>
        </w:rPr>
        <w:pict>
          <v:shape id="_x0000_i1026" type="#_x0000_t75" style="width:11.25pt;height:11.25pt" o:bullet="t">
            <v:imagedata r:id="rId9" o:title=""/>
          </v:shape>
        </w:pict>
      </w:r>
      <w:bookmarkEnd w:id="1"/>
    </w:p>
    <w:sectPr w:rsidR="00815E9A" w:rsidRPr="007F79F3" w:rsidSect="00143553">
      <w:footerReference w:type="default" r:id="rId10"/>
      <w:pgSz w:w="11906" w:h="16838"/>
      <w:pgMar w:top="1440" w:right="1274" w:bottom="993"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E9A" w:rsidRDefault="00815E9A">
      <w:r>
        <w:separator/>
      </w:r>
    </w:p>
  </w:endnote>
  <w:endnote w:type="continuationSeparator" w:id="0">
    <w:p w:rsidR="00815E9A" w:rsidRDefault="00815E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E9A" w:rsidRDefault="003918C3" w:rsidP="00CE474C">
    <w:pPr>
      <w:pStyle w:val="a6"/>
      <w:framePr w:wrap="auto" w:vAnchor="text" w:hAnchor="margin" w:xAlign="right" w:y="1"/>
      <w:rPr>
        <w:rStyle w:val="a7"/>
      </w:rPr>
    </w:pPr>
    <w:r>
      <w:rPr>
        <w:rStyle w:val="a7"/>
      </w:rPr>
      <w:fldChar w:fldCharType="begin"/>
    </w:r>
    <w:r w:rsidR="00815E9A">
      <w:rPr>
        <w:rStyle w:val="a7"/>
      </w:rPr>
      <w:instrText xml:space="preserve">PAGE  </w:instrText>
    </w:r>
    <w:r>
      <w:rPr>
        <w:rStyle w:val="a7"/>
      </w:rPr>
      <w:fldChar w:fldCharType="separate"/>
    </w:r>
    <w:r w:rsidR="00DD3B7F">
      <w:rPr>
        <w:rStyle w:val="a7"/>
        <w:noProof/>
      </w:rPr>
      <w:t>7</w:t>
    </w:r>
    <w:r>
      <w:rPr>
        <w:rStyle w:val="a7"/>
      </w:rPr>
      <w:fldChar w:fldCharType="end"/>
    </w:r>
  </w:p>
  <w:p w:rsidR="00815E9A" w:rsidRDefault="00815E9A" w:rsidP="009F4626">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E9A" w:rsidRDefault="00815E9A">
      <w:r>
        <w:separator/>
      </w:r>
    </w:p>
  </w:footnote>
  <w:footnote w:type="continuationSeparator" w:id="0">
    <w:p w:rsidR="00815E9A" w:rsidRDefault="00815E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C7954"/>
    <w:multiLevelType w:val="hybridMultilevel"/>
    <w:tmpl w:val="503C963C"/>
    <w:lvl w:ilvl="0" w:tplc="04080007">
      <w:start w:val="1"/>
      <w:numFmt w:val="bullet"/>
      <w:lvlText w:val=""/>
      <w:lvlJc w:val="left"/>
      <w:pPr>
        <w:ind w:left="1364" w:hanging="360"/>
      </w:pPr>
      <w:rPr>
        <w:rFonts w:ascii="Symbol" w:hAnsi="Symbol" w:cs="Symbol" w:hint="default"/>
      </w:rPr>
    </w:lvl>
    <w:lvl w:ilvl="1" w:tplc="04080003">
      <w:start w:val="1"/>
      <w:numFmt w:val="bullet"/>
      <w:lvlText w:val="o"/>
      <w:lvlJc w:val="left"/>
      <w:pPr>
        <w:ind w:left="2084" w:hanging="360"/>
      </w:pPr>
      <w:rPr>
        <w:rFonts w:ascii="Courier New" w:hAnsi="Courier New" w:cs="Courier New" w:hint="default"/>
      </w:rPr>
    </w:lvl>
    <w:lvl w:ilvl="2" w:tplc="04080005">
      <w:start w:val="1"/>
      <w:numFmt w:val="bullet"/>
      <w:lvlText w:val=""/>
      <w:lvlJc w:val="left"/>
      <w:pPr>
        <w:ind w:left="2804" w:hanging="360"/>
      </w:pPr>
      <w:rPr>
        <w:rFonts w:ascii="Wingdings" w:hAnsi="Wingdings" w:cs="Wingdings" w:hint="default"/>
      </w:rPr>
    </w:lvl>
    <w:lvl w:ilvl="3" w:tplc="04080001">
      <w:start w:val="1"/>
      <w:numFmt w:val="bullet"/>
      <w:lvlText w:val=""/>
      <w:lvlJc w:val="left"/>
      <w:pPr>
        <w:ind w:left="3524" w:hanging="360"/>
      </w:pPr>
      <w:rPr>
        <w:rFonts w:ascii="Symbol" w:hAnsi="Symbol" w:cs="Symbol" w:hint="default"/>
      </w:rPr>
    </w:lvl>
    <w:lvl w:ilvl="4" w:tplc="04080003">
      <w:start w:val="1"/>
      <w:numFmt w:val="bullet"/>
      <w:lvlText w:val="o"/>
      <w:lvlJc w:val="left"/>
      <w:pPr>
        <w:ind w:left="4244" w:hanging="360"/>
      </w:pPr>
      <w:rPr>
        <w:rFonts w:ascii="Courier New" w:hAnsi="Courier New" w:cs="Courier New" w:hint="default"/>
      </w:rPr>
    </w:lvl>
    <w:lvl w:ilvl="5" w:tplc="04080005">
      <w:start w:val="1"/>
      <w:numFmt w:val="bullet"/>
      <w:lvlText w:val=""/>
      <w:lvlJc w:val="left"/>
      <w:pPr>
        <w:ind w:left="4964" w:hanging="360"/>
      </w:pPr>
      <w:rPr>
        <w:rFonts w:ascii="Wingdings" w:hAnsi="Wingdings" w:cs="Wingdings" w:hint="default"/>
      </w:rPr>
    </w:lvl>
    <w:lvl w:ilvl="6" w:tplc="04080001">
      <w:start w:val="1"/>
      <w:numFmt w:val="bullet"/>
      <w:lvlText w:val=""/>
      <w:lvlJc w:val="left"/>
      <w:pPr>
        <w:ind w:left="5684" w:hanging="360"/>
      </w:pPr>
      <w:rPr>
        <w:rFonts w:ascii="Symbol" w:hAnsi="Symbol" w:cs="Symbol" w:hint="default"/>
      </w:rPr>
    </w:lvl>
    <w:lvl w:ilvl="7" w:tplc="04080003">
      <w:start w:val="1"/>
      <w:numFmt w:val="bullet"/>
      <w:lvlText w:val="o"/>
      <w:lvlJc w:val="left"/>
      <w:pPr>
        <w:ind w:left="6404" w:hanging="360"/>
      </w:pPr>
      <w:rPr>
        <w:rFonts w:ascii="Courier New" w:hAnsi="Courier New" w:cs="Courier New" w:hint="default"/>
      </w:rPr>
    </w:lvl>
    <w:lvl w:ilvl="8" w:tplc="04080005">
      <w:start w:val="1"/>
      <w:numFmt w:val="bullet"/>
      <w:lvlText w:val=""/>
      <w:lvlJc w:val="left"/>
      <w:pPr>
        <w:ind w:left="7124" w:hanging="360"/>
      </w:pPr>
      <w:rPr>
        <w:rFonts w:ascii="Wingdings" w:hAnsi="Wingdings" w:cs="Wingdings" w:hint="default"/>
      </w:rPr>
    </w:lvl>
  </w:abstractNum>
  <w:abstractNum w:abstractNumId="1">
    <w:nsid w:val="2831149E"/>
    <w:multiLevelType w:val="hybridMultilevel"/>
    <w:tmpl w:val="5B424E48"/>
    <w:lvl w:ilvl="0" w:tplc="0408000F">
      <w:start w:val="1"/>
      <w:numFmt w:val="decimal"/>
      <w:lvlText w:val="%1."/>
      <w:lvlJc w:val="left"/>
      <w:pPr>
        <w:ind w:left="644"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3FDD4B89"/>
    <w:multiLevelType w:val="hybridMultilevel"/>
    <w:tmpl w:val="8C4E335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58B67463"/>
    <w:multiLevelType w:val="hybridMultilevel"/>
    <w:tmpl w:val="5B424E48"/>
    <w:lvl w:ilvl="0" w:tplc="0408000F">
      <w:start w:val="1"/>
      <w:numFmt w:val="decimal"/>
      <w:lvlText w:val="%1."/>
      <w:lvlJc w:val="left"/>
      <w:pPr>
        <w:ind w:left="644"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5E01"/>
    <w:rsid w:val="000019F9"/>
    <w:rsid w:val="00002969"/>
    <w:rsid w:val="00063835"/>
    <w:rsid w:val="00077D65"/>
    <w:rsid w:val="000B054E"/>
    <w:rsid w:val="000E3FE0"/>
    <w:rsid w:val="000E5810"/>
    <w:rsid w:val="00100D9B"/>
    <w:rsid w:val="00102636"/>
    <w:rsid w:val="001159A0"/>
    <w:rsid w:val="00143553"/>
    <w:rsid w:val="001508EB"/>
    <w:rsid w:val="0015346B"/>
    <w:rsid w:val="0019580B"/>
    <w:rsid w:val="001A00F4"/>
    <w:rsid w:val="001A54BB"/>
    <w:rsid w:val="001B294A"/>
    <w:rsid w:val="001B2BCE"/>
    <w:rsid w:val="001C4D4C"/>
    <w:rsid w:val="001C656E"/>
    <w:rsid w:val="00206D6F"/>
    <w:rsid w:val="00215F41"/>
    <w:rsid w:val="00220497"/>
    <w:rsid w:val="00241258"/>
    <w:rsid w:val="00243B3E"/>
    <w:rsid w:val="002543B8"/>
    <w:rsid w:val="002861CC"/>
    <w:rsid w:val="00294CC3"/>
    <w:rsid w:val="002C557A"/>
    <w:rsid w:val="002D5792"/>
    <w:rsid w:val="002E53B3"/>
    <w:rsid w:val="00303BB6"/>
    <w:rsid w:val="003142CB"/>
    <w:rsid w:val="00315FB1"/>
    <w:rsid w:val="00321F05"/>
    <w:rsid w:val="003241CD"/>
    <w:rsid w:val="0033326F"/>
    <w:rsid w:val="00340EC6"/>
    <w:rsid w:val="00341353"/>
    <w:rsid w:val="00357E56"/>
    <w:rsid w:val="00360E28"/>
    <w:rsid w:val="00371DF7"/>
    <w:rsid w:val="0038745D"/>
    <w:rsid w:val="003918C3"/>
    <w:rsid w:val="00392C68"/>
    <w:rsid w:val="003A7F16"/>
    <w:rsid w:val="003E53BB"/>
    <w:rsid w:val="00414E78"/>
    <w:rsid w:val="00432C77"/>
    <w:rsid w:val="004602CB"/>
    <w:rsid w:val="004611CF"/>
    <w:rsid w:val="0047490E"/>
    <w:rsid w:val="00484DED"/>
    <w:rsid w:val="004B50D0"/>
    <w:rsid w:val="004E44FD"/>
    <w:rsid w:val="004F7896"/>
    <w:rsid w:val="00522874"/>
    <w:rsid w:val="00532B1F"/>
    <w:rsid w:val="005614CA"/>
    <w:rsid w:val="0056721E"/>
    <w:rsid w:val="00572B48"/>
    <w:rsid w:val="00582F21"/>
    <w:rsid w:val="005D6400"/>
    <w:rsid w:val="005E70F2"/>
    <w:rsid w:val="005F5D75"/>
    <w:rsid w:val="005F6D60"/>
    <w:rsid w:val="00653227"/>
    <w:rsid w:val="00693AF5"/>
    <w:rsid w:val="006E589C"/>
    <w:rsid w:val="00713D3B"/>
    <w:rsid w:val="00714398"/>
    <w:rsid w:val="00730F2C"/>
    <w:rsid w:val="00742DE0"/>
    <w:rsid w:val="00743E86"/>
    <w:rsid w:val="00745E01"/>
    <w:rsid w:val="00752047"/>
    <w:rsid w:val="007642A0"/>
    <w:rsid w:val="00767208"/>
    <w:rsid w:val="0077565E"/>
    <w:rsid w:val="007B7619"/>
    <w:rsid w:val="007F07EB"/>
    <w:rsid w:val="007F79F3"/>
    <w:rsid w:val="0080596C"/>
    <w:rsid w:val="00812C66"/>
    <w:rsid w:val="00815E9A"/>
    <w:rsid w:val="008164E1"/>
    <w:rsid w:val="00830966"/>
    <w:rsid w:val="00830F21"/>
    <w:rsid w:val="00893CA3"/>
    <w:rsid w:val="008A66A6"/>
    <w:rsid w:val="008B5274"/>
    <w:rsid w:val="008C2719"/>
    <w:rsid w:val="008C6B2A"/>
    <w:rsid w:val="008F3933"/>
    <w:rsid w:val="00936944"/>
    <w:rsid w:val="00941B14"/>
    <w:rsid w:val="00942F0A"/>
    <w:rsid w:val="00950228"/>
    <w:rsid w:val="00984A69"/>
    <w:rsid w:val="009936E8"/>
    <w:rsid w:val="009B273A"/>
    <w:rsid w:val="009C44DB"/>
    <w:rsid w:val="009D7090"/>
    <w:rsid w:val="009E0DCB"/>
    <w:rsid w:val="009F3725"/>
    <w:rsid w:val="009F43A5"/>
    <w:rsid w:val="009F4626"/>
    <w:rsid w:val="009F6734"/>
    <w:rsid w:val="00A37C6E"/>
    <w:rsid w:val="00AA4631"/>
    <w:rsid w:val="00AC278B"/>
    <w:rsid w:val="00AC3DE5"/>
    <w:rsid w:val="00AC54B4"/>
    <w:rsid w:val="00AF5A62"/>
    <w:rsid w:val="00B029F7"/>
    <w:rsid w:val="00B06DB0"/>
    <w:rsid w:val="00B2223F"/>
    <w:rsid w:val="00B26C5B"/>
    <w:rsid w:val="00B4270B"/>
    <w:rsid w:val="00B451A1"/>
    <w:rsid w:val="00B6019C"/>
    <w:rsid w:val="00B627AC"/>
    <w:rsid w:val="00B84C0B"/>
    <w:rsid w:val="00B94328"/>
    <w:rsid w:val="00B96292"/>
    <w:rsid w:val="00BA284B"/>
    <w:rsid w:val="00BB2929"/>
    <w:rsid w:val="00BB36B1"/>
    <w:rsid w:val="00BD6257"/>
    <w:rsid w:val="00BF01FC"/>
    <w:rsid w:val="00BF13D8"/>
    <w:rsid w:val="00C2259D"/>
    <w:rsid w:val="00C36B49"/>
    <w:rsid w:val="00C53158"/>
    <w:rsid w:val="00C533CC"/>
    <w:rsid w:val="00C579F7"/>
    <w:rsid w:val="00C607D5"/>
    <w:rsid w:val="00C85287"/>
    <w:rsid w:val="00C854A6"/>
    <w:rsid w:val="00CB2946"/>
    <w:rsid w:val="00CB3C4D"/>
    <w:rsid w:val="00CB42F2"/>
    <w:rsid w:val="00CB4A1C"/>
    <w:rsid w:val="00CD4ED0"/>
    <w:rsid w:val="00CD563E"/>
    <w:rsid w:val="00CD7549"/>
    <w:rsid w:val="00CE2C38"/>
    <w:rsid w:val="00CE474C"/>
    <w:rsid w:val="00CF122F"/>
    <w:rsid w:val="00D43E1C"/>
    <w:rsid w:val="00D632E7"/>
    <w:rsid w:val="00D76255"/>
    <w:rsid w:val="00DA066D"/>
    <w:rsid w:val="00DC2870"/>
    <w:rsid w:val="00DD042D"/>
    <w:rsid w:val="00DD3B7F"/>
    <w:rsid w:val="00E04799"/>
    <w:rsid w:val="00E066B2"/>
    <w:rsid w:val="00E210D6"/>
    <w:rsid w:val="00E278AA"/>
    <w:rsid w:val="00E910BE"/>
    <w:rsid w:val="00EB02C0"/>
    <w:rsid w:val="00EB4277"/>
    <w:rsid w:val="00ED30EB"/>
    <w:rsid w:val="00ED3A7D"/>
    <w:rsid w:val="00F00AD8"/>
    <w:rsid w:val="00F176D0"/>
    <w:rsid w:val="00F210D1"/>
    <w:rsid w:val="00F27B12"/>
    <w:rsid w:val="00F43117"/>
    <w:rsid w:val="00F525FB"/>
    <w:rsid w:val="00F70A30"/>
    <w:rsid w:val="00F74453"/>
    <w:rsid w:val="00F761C3"/>
    <w:rsid w:val="00FC2401"/>
    <w:rsid w:val="00FF533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90"/>
    <w:pPr>
      <w:spacing w:after="200" w:line="276" w:lineRule="auto"/>
    </w:pPr>
    <w:rPr>
      <w:rFonts w:cs="Calibri"/>
      <w:lang w:eastAsia="en-US"/>
    </w:rPr>
  </w:style>
  <w:style w:type="paragraph" w:styleId="3">
    <w:name w:val="heading 3"/>
    <w:basedOn w:val="a"/>
    <w:next w:val="a"/>
    <w:link w:val="3Char"/>
    <w:uiPriority w:val="99"/>
    <w:qFormat/>
    <w:rsid w:val="00C533CC"/>
    <w:pPr>
      <w:keepNext/>
      <w:keepLines/>
      <w:spacing w:before="200" w:after="0"/>
      <w:outlineLvl w:val="2"/>
    </w:pPr>
    <w:rPr>
      <w:rFonts w:ascii="Cambria" w:eastAsia="Times New Roman"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9"/>
    <w:semiHidden/>
    <w:locked/>
    <w:rsid w:val="00C533CC"/>
    <w:rPr>
      <w:rFonts w:ascii="Cambria" w:hAnsi="Cambria" w:cs="Cambria"/>
      <w:b/>
      <w:bCs/>
      <w:color w:val="4F81BD"/>
    </w:rPr>
  </w:style>
  <w:style w:type="paragraph" w:styleId="a3">
    <w:name w:val="Balloon Text"/>
    <w:basedOn w:val="a"/>
    <w:link w:val="Char"/>
    <w:uiPriority w:val="99"/>
    <w:semiHidden/>
    <w:rsid w:val="00077D6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locked/>
    <w:rsid w:val="00077D65"/>
    <w:rPr>
      <w:rFonts w:ascii="Tahoma" w:hAnsi="Tahoma" w:cs="Tahoma"/>
      <w:sz w:val="16"/>
      <w:szCs w:val="16"/>
    </w:rPr>
  </w:style>
  <w:style w:type="paragraph" w:styleId="a4">
    <w:name w:val="caption"/>
    <w:basedOn w:val="a"/>
    <w:next w:val="a"/>
    <w:uiPriority w:val="99"/>
    <w:qFormat/>
    <w:rsid w:val="0080596C"/>
    <w:pPr>
      <w:spacing w:line="240" w:lineRule="auto"/>
    </w:pPr>
    <w:rPr>
      <w:b/>
      <w:bCs/>
      <w:color w:val="4F81BD"/>
      <w:sz w:val="18"/>
      <w:szCs w:val="18"/>
    </w:rPr>
  </w:style>
  <w:style w:type="paragraph" w:styleId="a5">
    <w:name w:val="List Paragraph"/>
    <w:basedOn w:val="a"/>
    <w:uiPriority w:val="99"/>
    <w:qFormat/>
    <w:rsid w:val="00F210D1"/>
    <w:pPr>
      <w:ind w:left="720"/>
    </w:pPr>
  </w:style>
  <w:style w:type="character" w:styleId="-">
    <w:name w:val="Hyperlink"/>
    <w:basedOn w:val="a0"/>
    <w:uiPriority w:val="99"/>
    <w:rsid w:val="00E910BE"/>
    <w:rPr>
      <w:color w:val="0000FF"/>
      <w:u w:val="single"/>
    </w:rPr>
  </w:style>
  <w:style w:type="paragraph" w:styleId="a6">
    <w:name w:val="footer"/>
    <w:basedOn w:val="a"/>
    <w:link w:val="Char0"/>
    <w:uiPriority w:val="99"/>
    <w:rsid w:val="009F4626"/>
    <w:pPr>
      <w:tabs>
        <w:tab w:val="center" w:pos="4153"/>
        <w:tab w:val="right" w:pos="8306"/>
      </w:tabs>
    </w:pPr>
  </w:style>
  <w:style w:type="character" w:customStyle="1" w:styleId="Char0">
    <w:name w:val="Υποσέλιδο Char"/>
    <w:basedOn w:val="a0"/>
    <w:link w:val="a6"/>
    <w:uiPriority w:val="99"/>
    <w:semiHidden/>
    <w:locked/>
    <w:rsid w:val="003918C3"/>
    <w:rPr>
      <w:lang w:eastAsia="en-US"/>
    </w:rPr>
  </w:style>
  <w:style w:type="character" w:styleId="a7">
    <w:name w:val="page number"/>
    <w:basedOn w:val="a0"/>
    <w:uiPriority w:val="99"/>
    <w:rsid w:val="009F4626"/>
  </w:style>
  <w:style w:type="paragraph" w:customStyle="1" w:styleId="CharCharCharChar">
    <w:name w:val="Char Char Char Char"/>
    <w:basedOn w:val="a"/>
    <w:uiPriority w:val="99"/>
    <w:rsid w:val="00742DE0"/>
    <w:pPr>
      <w:spacing w:after="160" w:line="240" w:lineRule="exact"/>
    </w:pPr>
    <w:rPr>
      <w:rFonts w:ascii="Verdana"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divs>
    <w:div w:id="18107058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igaiou.pde.sch.gr/newsch"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1991</Words>
  <Characters>12709</Characters>
  <Application>Microsoft Office Word</Application>
  <DocSecurity>0</DocSecurity>
  <Lines>105</Lines>
  <Paragraphs>29</Paragraphs>
  <ScaleCrop>false</ScaleCrop>
  <Company/>
  <LinksUpToDate>false</LinksUpToDate>
  <CharactersWithSpaces>14671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Νίκος Χριστόπουλος</dc:creator>
  <cp:keywords/>
  <dc:description/>
  <cp:lastModifiedBy>PDEVAIG1</cp:lastModifiedBy>
  <cp:revision>25</cp:revision>
  <cp:lastPrinted>2015-04-16T08:29:00Z</cp:lastPrinted>
  <dcterms:created xsi:type="dcterms:W3CDTF">2015-04-16T06:39:00Z</dcterms:created>
  <dcterms:modified xsi:type="dcterms:W3CDTF">2015-04-16T09:33:00Z</dcterms:modified>
</cp:coreProperties>
</file>